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2095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d44432"/>
          <w:sz w:val="16"/>
          <w:szCs w:val="16"/>
        </w:rPr>
        <w:t xml:space="preserve">AI + EXPERT · FROM APPLICATION TO SUBMISSION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40"/>
          <w:szCs w:val="40"/>
        </w:rPr>
        <w:t xml:space="preserve">A proposal engine, </w:t>
      </w:r>
      <w:r>
        <w:rPr>
          <w:rFonts w:ascii="Georgia" w:cs="Georgia" w:eastAsia="Georgia" w:hAnsi="Georgia"/>
          <w:i/>
          <w:iCs/>
          <w:color w:val="e85d4a"/>
          <w:sz w:val="40"/>
          <w:szCs w:val="40"/>
        </w:rPr>
        <w:t xml:space="preserve">not a proposal gamble.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Win non-dilutive federal R&amp;D funding — </w:t>
      </w: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without burning a month of payroll on every submission.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 25 years of hands-on expertise + isolated, company-specific AI. Built for SBIR · STTR · BAA · OTA · CSO · Grants.</w:t>
      </w:r>
    </w:p>
    <w:tbl>
      <w:tblPr>
        <w:tblW w:type="dxa" w:w="10240"/>
        <w:tblBorders>
          <w:top w:val="single" w:color="dfd2bc" w:sz="4"/>
          <w:left w:val="none"/>
          <w:bottom w:val="single" w:color="dfd2bc" w:sz="4"/>
          <w:right w:val="none"/>
          <w:insideH w:val="single" w:color="dfd2bc" w:sz="4"/>
          <w:insideV w:val="single" w:color="dfd2bc" w:sz="4"/>
        </w:tblBorders>
      </w:tblPr>
      <w:tblGrid>
        <w:gridCol w:w="2560"/>
        <w:gridCol w:w="2560"/>
        <w:gridCol w:w="2560"/>
        <w:gridCol w:w="2560"/>
      </w:tblGrid>
      <w:tr>
        <w:trPr>
          <w:tblHeader/>
        </w:trPr>
        <w:tc>
          <w:tcPr>
            <w:tcW w:type="dxa" w:w="256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Federal Sources</w:t>
            </w:r>
          </w:p>
        </w:tc>
        <w:tc>
          <w:tcPr>
            <w:tcW w:type="dxa" w:w="256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Expert-Review SLA</w:t>
            </w:r>
          </w:p>
        </w:tc>
        <w:tc>
          <w:tcPr>
            <w:tcW w:type="dxa" w:w="256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Years Fed R&amp;D</w:t>
            </w:r>
          </w:p>
        </w:tc>
        <w:tc>
          <w:tcPr>
            <w:tcW w:type="dxa" w:w="256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Human-Gated AI</w:t>
            </w:r>
          </w:p>
        </w:tc>
      </w:tr>
      <w:tr>
        <w:tc>
          <w:tcPr>
            <w:tcW w:type="dxa" w:w="2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7"/>
                <w:szCs w:val="17"/>
              </w:rPr>
              <w:t xml:space="preserve">4+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72 hours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25+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140"/>
      </w:pP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2"/>
          <w:szCs w:val="22"/>
        </w:rPr>
        <w:t xml:space="preserve">Billions a year in non-dilutive funding — kept off most companies’ radar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Grant-like money you keep your equity and IP on. Most qualifying small businesses never apply — the process is opaque, deadline-driven, and expensive to chase. RFP Pipeline makes it accessible.</w:t>
      </w:r>
    </w:p>
    <w:tbl>
      <w:tblPr>
        <w:tblW w:type="dxa" w:w="10240"/>
        <w:tblBorders>
          <w:top w:val="single" w:color="dfd2bc" w:sz="4"/>
          <w:left w:val="none"/>
          <w:bottom w:val="single" w:color="dfd2bc" w:sz="4"/>
          <w:right w:val="none"/>
          <w:insideH w:val="single" w:color="dfd2bc" w:sz="4"/>
          <w:insideV w:val="single" w:color="dfd2bc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The status quo</w:t>
            </w:r>
          </w:p>
        </w:tc>
        <w:tc>
          <w:tcPr>
            <w:tcW w:type="dxa" w:w="436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costs you</w:t>
            </w:r>
          </w:p>
        </w:tc>
        <w:tc>
          <w:tcPr>
            <w:tcW w:type="dxa" w:w="240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RFP Pipeline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7"/>
                <w:szCs w:val="17"/>
              </w:rPr>
              <w:t xml:space="preserve">Opportunity monitoring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~$5,000 / month for a feed you still triage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Included</w:t>
            </w:r>
          </w:p>
        </w:tc>
      </w:tr>
      <w:tr>
        <w:tc>
          <w:tcPr>
            <w:tcW w:type="dxa" w:w="2600"/>
            <w:shd w:fill="faf8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7"/>
                <w:szCs w:val="17"/>
              </w:rPr>
              <w:t xml:space="preserve">Proposal consultant</w:t>
            </w:r>
          </w:p>
        </w:tc>
        <w:tc>
          <w:tcPr>
            <w:tcW w:type="dxa" w:w="4360"/>
            <w:shd w:fill="faf8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Commonly ~10% of the award as a success fee</w:t>
            </w:r>
          </w:p>
        </w:tc>
        <w:tc>
          <w:tcPr>
            <w:tcW w:type="dxa" w:w="2400"/>
            <w:shd w:fill="faf8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Flat fee, no success fee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7"/>
                <w:szCs w:val="17"/>
              </w:rPr>
              <w:t xml:space="preserve">Your team’s time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A month of payroll per submission, from scratch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Draft from your library</w:t>
            </w:r>
          </w:p>
        </w:tc>
      </w:tr>
    </w:tbl>
    <w:p>
      <w:pPr>
        <w:spacing w:after="40"/>
      </w:pPr>
    </w:p>
    <w:tbl>
      <w:tblPr>
        <w:tblW w:type="dxa" w:w="10240"/>
        <w:tblBorders>
          <w:top w:val="none"/>
          <w:left w:val="single" w:color="d44432" w:sz="22"/>
          <w:bottom w:val="none"/>
          <w:right w:val="none"/>
          <w:insideH w:val="none"/>
          <w:insideV w:val="none"/>
        </w:tblBorders>
      </w:tblPr>
      <w:tblGrid>
        <w:gridCol w:w="10240"/>
      </w:tblGrid>
      <w:tr>
        <w:tc>
          <w:tcPr>
            <w:shd w:fill="f5f0e8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9"/>
                <w:szCs w:val="19"/>
              </w:rPr>
              <w:t xml:space="preserve">The math.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9"/>
                <w:szCs w:val="19"/>
              </w:rPr>
              <w:t xml:space="preserve">Replaces a $5,000/mo monitoring service and a 10%-of-award consultant — for $499/mo and a flat per-proposal fee. No success fee, ever.</w:t>
            </w:r>
          </w:p>
        </w:tc>
      </w:tr>
    </w:tbl>
    <w:p>
      <w:pPr>
        <w:spacing w:after="160"/>
      </w:pPr>
    </w:p>
    <w:tbl>
      <w:tblPr>
        <w:tblW w:type="dxa" w:w="10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shd w:fill="1a1816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 What you get — the platform at a glance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Discovery &amp; ranked pipeline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daily ingestion across SAM.gov, SBIR.gov, Grants.gov &amp; agency portals, ranked to your tech areas.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Scoring buckets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rank the whole pipeline by your own keywords, agencies, program types &amp; NAICS — transparent, per-factor.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Expert curation (72h SLA)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a real expert provisions your compliance matrix, volumes &amp; section molds from the solicitation.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Isolated, company-specific AI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walled to your company. No model training on your data. Injection-fenced.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Reusable content library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upload → atomize → reuse; copied forward into every proposal.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Workspace &amp; compliance matrix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stage-gated build, per-section accept-and-lock, live requirement coverage &amp; page-fill gauges.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Proposal Studio (AI workforce)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Draft → Refine → Compliance, gated; you approve at each step, or run all three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AI review &amp; compliance check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color-team recommendations per section + pass/fail/partial requirement scoring.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Submission-ready exports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Word, PDF, Excel (live formulas) &amp; per-volume ZIP + a packaging-completeness review.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9"/>
          <w:szCs w:val="19"/>
        </w:rPr>
        <w:t xml:space="preserve">Outcome → contract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9"/>
          <w:szCs w:val="19"/>
        </w:rPr>
        <w:t xml:space="preserve">a win starts your contract + kickoff; every result sharpens your library for the next bid.</w:t>
      </w:r>
    </w:p>
    <w:p>
      <w:pPr>
        <w:spacing w:after="40"/>
      </w:pPr>
    </w:p>
    <w:p>
      <w:pPr>
        <w:spacing w:after="15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7a6d5e"/>
          <w:sz w:val="18"/>
          <w:szCs w:val="18"/>
        </w:rPr>
        <w:t xml:space="preserve">Trust &amp; control: multi-tenant isolation · no model training on your data · full audit trail · AI advisory &amp; human-gated · injection-fenced · governed AI (budget/rate caps).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2"/>
          <w:szCs w:val="22"/>
        </w:rPr>
        <w:t xml:space="preserve">Simple, flat pricing — no success fee, ever</w:t>
      </w:r>
    </w:p>
    <w:tbl>
      <w:tblPr>
        <w:tblW w:type="dxa" w:w="10240"/>
        <w:tblBorders>
          <w:top w:val="single" w:color="dfd2bc" w:sz="4"/>
          <w:left w:val="none"/>
          <w:bottom w:val="single" w:color="dfd2bc" w:sz="4"/>
          <w:right w:val="none"/>
          <w:insideH w:val="single" w:color="dfd2bc" w:sz="4"/>
          <w:insideV w:val="single" w:color="dfd2bc" w:sz="4"/>
        </w:tblBorders>
      </w:tblPr>
      <w:tblGrid>
        <w:gridCol w:w="3050"/>
        <w:gridCol w:w="1400"/>
        <w:gridCol w:w="4910"/>
      </w:tblGrid>
      <w:tr>
        <w:trPr>
          <w:tblHeader/>
        </w:trPr>
        <w:tc>
          <w:tcPr>
            <w:tcW w:type="dxa" w:w="305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140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4910"/>
            <w:shd w:fill="1a181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Included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7"/>
                <w:szCs w:val="17"/>
              </w:rPr>
              <w:t xml:space="preserve">Spotlight Subscription (required, monthly)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$499 / mo</w:t>
            </w:r>
          </w:p>
        </w:tc>
        <w:tc>
          <w:tcPr>
            <w:tcW w:type="dxa" w:w="491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Daily ingestion, AI ranking, expert-curated compliance matrix, deadline alerts, 15 min Ask-the-Expert/mo. Required to buy any portal; 3-mo min.</w:t>
            </w:r>
          </w:p>
        </w:tc>
      </w:tr>
      <w:tr>
        <w:tc>
          <w:tcPr>
            <w:tcW w:type="dxa" w:w="3050"/>
            <w:shd w:fill="faf8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7"/>
                <w:szCs w:val="17"/>
              </w:rPr>
              <w:t xml:space="preserve">Phase I — Like Effort (per proposal)</w:t>
            </w:r>
          </w:p>
        </w:tc>
        <w:tc>
          <w:tcPr>
            <w:tcW w:type="dxa" w:w="1400"/>
            <w:shd w:fill="faf8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$1,999 ea</w:t>
            </w:r>
          </w:p>
        </w:tc>
        <w:tc>
          <w:tcPr>
            <w:tcW w:type="dxa" w:w="4910"/>
            <w:shd w:fill="faf8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SBIR/STTR Phase I, smaller BAA, OTA/CSO short-form. 72-hour expert curation, stage-gated workspace, custom AI drafting.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7"/>
                <w:szCs w:val="17"/>
              </w:rPr>
              <w:t xml:space="preserve">Phase II — Like Effort (per proposal)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$4,999 ea</w:t>
            </w:r>
          </w:p>
        </w:tc>
        <w:tc>
          <w:tcPr>
            <w:tcW w:type="dxa" w:w="491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7"/>
                <w:szCs w:val="17"/>
              </w:rPr>
              <w:t xml:space="preserve">SBIR/STTR Phase II, larger BAA, OTA prototypes, complex NOFOs. 20–50+ pp volumes. $3,999 with a linked Phase I.</w:t>
            </w:r>
          </w:p>
        </w:tc>
      </w:tr>
    </w:tbl>
    <w:p>
      <w:pPr>
        <w:pBdr>
          <w:top w:val="single" w:color="d44432" w:sz="14" w:space="8"/>
        </w:pBdr>
        <w:spacing w:after="30" w:before="120"/>
      </w:pPr>
      <w:r>
        <w:rPr>
          <w:rFonts w:ascii="Georgia" w:cs="Georgia" w:eastAsia="Georgia" w:hAnsi="Georgia"/>
          <w:i/>
          <w:iCs/>
          <w:color w:val="1a1816"/>
          <w:sz w:val="22"/>
          <w:szCs w:val="22"/>
        </w:rPr>
        <w:t xml:space="preserve">From a ranked opportunity to a submission-ready, compliant proposal — your team in control at every gate.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Book a walkthrough on one of your own target opportunities, or apply for the Founding Cohort. Platform launches August 2026.</w:t>
      </w:r>
    </w:p>
    <w:sectPr>
      <w:footerReference w:type="default" r:id="rId7"/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d2bc" w:sz="4" w:space="6"/>
      </w:pBdr>
      <w:tabs>
        <w:tab w:val="right" w:pos="10240"/>
      </w:tabs>
    </w:pPr>
    <w:r>
      <w:rPr>
        <w:rFonts w:ascii="Calibri" w:cs="Calibri" w:eastAsia="Calibri" w:hAnsi="Calibri"/>
        <w:color w:val="968775"/>
        <w:sz w:val="14"/>
        <w:szCs w:val="14"/>
      </w:rPr>
      <w:t xml:space="preserve">RFP Pipeline · Platform Cut Sheet</w:t>
    </w:r>
    <w:r>
      <w:rPr>
        <w:rFonts w:ascii="Calibri" w:cs="Calibri" w:eastAsia="Calibri" w:hAnsi="Calibri"/>
        <w:color w:val="968775"/>
        <w:sz w:val="14"/>
        <w:szCs w:val="14"/>
      </w:rPr>
      <w:tab/>
      <w:t xml:space="preserve">Page </w:t>
    </w:r>
    <w:r>
      <w:rPr>
        <w:rFonts w:ascii="Calibri" w:cs="Calibri" w:eastAsia="Calibri" w:hAnsi="Calibri"/>
        <w:color w:val="96877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90"/>
      </w:pPr>
      <w:rPr>
        <w:color w:val="d444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ff6c391a4bfe2ea9cbd0436de54c6a12b9f9a4.png"/><Relationship Id="rId9" Type="http://schemas.openxmlformats.org/officeDocument/2006/relationships/image" Target="media/7d018b90e6f971fbb2880dd766769a1f2ad64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Pipeline — Platform Cut Sheet</dc:title>
  <dc:creator>RFP Pipeline</dc:creator>
  <cp:lastModifiedBy>Un-named</cp:lastModifiedBy>
  <cp:revision>1</cp:revision>
  <dcterms:created xsi:type="dcterms:W3CDTF">2026-08-04T04:09:39.455Z</dcterms:created>
  <dcterms:modified xsi:type="dcterms:W3CDTF">2026-08-04T04:09:39.457Z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