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Volume 2 — Technical Volume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{company_name}</w:t>
      </w:r>
      <w:r>
        <w:rPr>
          <w:rFonts w:ascii="Georgia" w:cs="Georgia" w:eastAsia="Georgia" w:hAnsi="Georgia"/>
          <w:sz w:val="24"/>
          <w:szCs w:val="24"/>
        </w:rPr>
        <w:t xml:space="preserve"> — AFWERX SBIR Phase I (CSO)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color w:val="475569"/>
          <w:sz w:val="24"/>
          <w:szCs w:val="24"/>
        </w:rPr>
        <w:t xml:space="preserve">Topic {topic_number}: {topic_title}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color w:val="475569"/>
          <w:sz w:val="24"/>
          <w:szCs w:val="24"/>
        </w:rPr>
        <w:t xml:space="preserve">Period of Performance: 6 months   ·   Requested Funding: $150,000   ·   Distribution: Proprietary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1. Identification and Significance of the Problem or Opportunity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Unmanned surface vessels (USVs) increasingly operate beyond reliable communications, yet current acoustic-threat detection depends on shore-side processing that introduces prohibitive latency. When a SATCOM link degrades — the norm in contested or high-sea-state environments — classification stalls and the vessel loses the ability to distinguish a biologic from a torpedo. Autonomy is throttled precisely when it matters most.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Consider a representative scenario. A USV on a persistent picket mission detects an ambiguous acoustic signature. Under today’s architecture the raw stream is buffered and, if bandwidth permits, relayed to a shore station; the round trip can exceed several seconds. A torpedo closing at 40 knots covers more than 60 meters in that window. The vessel needs a decision at the tactical edge, in tens of milliseconds, with no assumption of connectivity.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threat space is broad and confusable. Table 1 summarizes the principal acoustic classes and why they are hard to distinguish under compression.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Class</w:t>
            </w:r>
          </w:p>
        </w:tc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Signature character</w:t>
            </w:r>
          </w:p>
        </w:tc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Confusable with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Torpedo (running)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High-RPM screw, rising tonal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High-speed surface craft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Submarine (transiting)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Low-frequency broadband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Distant shipping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Surface combatant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Multi-blade cavitation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Merchant traffic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Biologic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Click trains / whistles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Sonar transients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Ambient / clutter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Sea-state noise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(baseline)</w:t>
            </w:r>
          </w:p>
        </w:tc>
      </w:tr>
    </w:tbl>
    <w:p>
      <w:pPr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Table 1: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Acoustic threat taxonomy and principal confusions the classifier must resolve.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Significance: every autonomous hull the Air Force and Navy field inherits this connectivity dependency. Three hard requirements follow and jointly define the problem: the classifier must (i) achieve high balanced accuracy across confusable classes — a mean that hides a torpedo-versus-fast-craft confusion is useless; (ii) return a decision within a worst-case deadline of tens of milliseconds; and (iii) do so within the fielded 2-watt compute budget. Any approach that satisfies two of the three does not transition. The opportunity is timely: the unmanned fleet is scaling while edge-compute modules have matured to run useful inference within single-digit watts. What is missing is the machine-learning-systems work to compress an accurate maritime classifier without destroying it — precisely the gap {company_name} closes.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2. Phase I Technical Objectives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objectives of Phase I are to establish feasibility of the edge classifier against pre-registered, defense-relevant criteria: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Objective 1 — Curate and augment the hydrophone training corpus with documented provenance and class balance.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Objective 2 — Train and quantize the classifier to 4-bit precision with saliency-guided pruning, holding balanced accuracy above 92%.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Objective 3 — Port the runtime to the target 2-watt edge module and benchmark p99 end-to-end latency and sustained power.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Objective 4 — Validate accuracy, latency, and power against relevant threat scenarios and document results, limitations, and the Phase II plan.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2.1 Technical Approach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edge module ingests raw hydrophone-array streams, performs on-device feature extraction, and runs a quantized CNN whose outputs feed the USV autonomy bus. Figure 1 shows the architecture; Figure 2 the on-device inference pipeline. All inference occurs on-vessel at a measured 2.0-watt draw.</w:t>
      </w:r>
    </w:p>
    <w:p>
      <w:pPr>
        <w:spacing w:after="40" w:before="60"/>
        <w:jc w:val="center"/>
      </w:pPr>
      <w:r>
        <w:drawing>
          <wp:inline distT="0" distB="0" distL="0" distR="0">
            <wp:extent cx="4191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Figure 1: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{company_name} edge acoustic-sensing architecture (on-vessel).</w:t>
      </w:r>
    </w:p>
    <w:p>
      <w:pPr>
        <w:spacing w:after="40" w:before="60"/>
        <w:jc w:val="center"/>
      </w:pPr>
      <w:r>
        <w:drawing>
          <wp:inline distT="0" distB="0" distL="0" distR="0">
            <wp:extent cx="41910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Figure 2: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On-device inference pipeline (feature extraction through classification).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Four co-designed components make edge-native classification feasible under the power ceiling. (a) A fixed-point signal front-end (STFT → log-mel, ~40 bins) with array beamforming that yields a bearing estimate alongside the class label, consuming under 15% of the per-frame budget. (b) Quantization-aware training at 4-bit weights / 8-bit activations via a straight-through estimator, holding accuracy within 1.4 points of full precision versus a 9-point drop for post-training quantization.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(c) Saliency-guided structured pruning that scores each channel by its contribution to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inter-class separation</w:t>
      </w:r>
      <w:r>
        <w:rPr>
          <w:rFonts w:ascii="Georgia" w:cs="Georgia" w:eastAsia="Georgia" w:hAnsi="Georgia"/>
          <w:sz w:val="24"/>
          <w:szCs w:val="24"/>
        </w:rPr>
        <w:t xml:space="preserve"> and removes ~70% of parameters while preserving the discriminative bands — {company_name}’s defensible IP (patent pending). (d) A deterministic, statically scheduled runtime that pins inference to reserved cores and disables frequency scaling, guaranteeing a 99th-percentile latency under 100 ms at 2.0 watts.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classifier itself is a compact five-stage residual CNN over the log-mel stream, favoring depth over width and using only operators the target module accelerates natively. Preliminary bench experiments on a representative corpus subset already indicate feasibility (Table 2), and Phase I will formalize and extend them to the full corpus and target hardware.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Full-precision baseline</w:t>
            </w:r>
          </w:p>
        </w:tc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{company_name} 4-bit target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Balanced accuracy (F1)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93.6%</w:t>
            </w:r>
          </w:p>
        </w:tc>
        <w:tc>
          <w:tcPr>
            <w:shd w:color="dcfce7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92%+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Parameters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4.1 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1.2 M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End-to-end latency (p99)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310 ms</w:t>
            </w:r>
          </w:p>
        </w:tc>
        <w:tc>
          <w:tcPr>
            <w:shd w:color="dcfce7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&lt;100 ms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Sustained power draw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11 W</w:t>
            </w:r>
          </w:p>
        </w:tc>
        <w:tc>
          <w:tcPr>
            <w:shd w:color="dcfce7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2.0 W</w:t>
            </w:r>
          </w:p>
        </w:tc>
      </w:tr>
    </w:tbl>
    <w:p>
      <w:pPr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Table 2: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Preliminary baseline vs. Phase I target (representative corpus subset).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3. Phase I Statement of Work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six-month effort is organized into four sequential-but-overlapping tasks. Table 3 gives the schedule and lead; the narrative details scope, methods, effort, and deliverables per task.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Task</w:t>
            </w:r>
          </w:p>
        </w:tc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Description</w:t>
            </w:r>
          </w:p>
        </w:tc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Months</w:t>
            </w:r>
          </w:p>
        </w:tc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Lead</w:t>
            </w:r>
          </w:p>
        </w:tc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Deliverable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Corpus curation &amp; augmentation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1–2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Nandakumar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Labeled dataset + data card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Quantization-aware training + pruning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2–4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Ellison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Trained 4-bit model + accuracy report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Edge port &amp; latency benchmark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4–5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Reyes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Runtime on target module + benchmark log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Validation &amp; final report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5–6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Ellison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Phase I feasibility report</w:t>
            </w:r>
          </w:p>
        </w:tc>
      </w:tr>
    </w:tbl>
    <w:p>
      <w:pPr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Table 3: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Phase I statement of work (6-month period of performance).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 1 — Corpus Curation and Augmentation (Months 1–2)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Assemble a labeled corpus from the DARPA hydrophone release, augmented with sea-state noise, Doppler, and multipath models; balance each class by controlled resampling; document provenance and limitations in a data card. Effort: 0.25 FTE ML engineer. Deliverable: labeled dataset + data card.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 2 — Quantization-Aware Training and Pruning (Months 2–4)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Train the classifier with 4-bit quantization and saliency-guided pruning in the loop, iterating the saliency threshold; run ablations attributing accuracy retention to each technique. Effort: 0.30 FTE PI + 0.20 FTE ML engineer. Deliverable: trained 4-bit model + accuracy report on a session-disjoint split.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 3 — Edge Port and Latency Benchmark (Months 4–5)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Port the runtime to the 2-watt module, integrate the deterministic scheduler, and benchmark p99 latency and sustained power under continuous load; apply selective mixed precision to the most confusable layers if required. Effort: 0.40 FTE systems engineer. Deliverable: runtime on target + benchmark log.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 4 — Validation and Final Report (Months 5–6)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Validate accuracy, latency, and power against relevant threat scenarios from held-out sessions; document results, limitations, and the Phase II plan. Effort: 0.20 FTE PI + support. Deliverable: Phase I feasibility report.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3.1 Evaluation, Data Management, and Risk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Feasibility is judged against pre-registered gates, all of which must pass: balanced F1 ≥ 0.92 on a session-disjoint split; end-to-end p99 latency &lt; 100 ms on target; sustained rail draw ≤ 2.0 W. The full confusion matrix is a deliverable, because the operationally important errors are specific confusions rather than average error. All data derives from the Distribution-A DARPA corpus plus synthetic augmentation — no classified or controlled data — versioned and retained for the period of performance plus three years. The principal risks and mitigations are in Table 4.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Risk</w:t>
            </w:r>
          </w:p>
        </w:tc>
        <w:tc>
          <w:tcPr>
            <w:tcW w:type="pct" w:w="25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Likelihood</w:t>
            </w:r>
          </w:p>
        </w:tc>
        <w:tc>
          <w:tcPr>
            <w:tcW w:type="pct" w:w="25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Impact</w:t>
            </w:r>
          </w:p>
        </w:tc>
        <w:tc>
          <w:tcPr>
            <w:tcW w:type="pct" w:w="25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Mitigation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4-bit accuracy shortfall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High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Mixed-precision fallback on most confusable layers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Latency exceeds budget on target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Low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High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Reserve cores + static schedule; profile early in Task 3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Corpus class imbalance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Targeted augmentation + class-balanced sampling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Domain shift (sea state)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Sea-state augmentation + robustness ablation</w:t>
            </w:r>
          </w:p>
        </w:tc>
      </w:tr>
    </w:tbl>
    <w:p>
      <w:pPr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Table 4: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Principal Phase I risks, likelihood, impact, and mitigation.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4. Related Work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Prior edge-audio efforts target keyword spotting at low fidelity and small class counts; none address multi-class maritime threat discrimination under a hard power ceiling. Post-training quantization strands accuracy on confusable classes; magnitude pruning is blind to inter-class saliency; unstructured sparsity does not map efficiently onto edge vector units. {company_name}’s contribution is the coupling of quantization-aware training with a saliency-guided, structured pruning metric specific to acoustic threat discrimination, validated in preliminary bench tests and pursued as protected IP. We build on established foundations — integer-arithmetic inference, straight-through estimators, and margin-based feature attribution — and contribute their integration and specialization to this operational problem.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5. Relationship with Future Research or Development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Phase I establishes feasibility on the target module. Phase II hardens the module, extends the corpus to fielded recordings, and conducts an at-sea demonstration on a DoD USV against the same gates plus a robustness gate across sea states; we will pursue approximately $1.1M over 24 months. In Phase III we target integration with a USV program of record through the relevant program office. Because the classifier fits the existing compute budget, transition requires only a software integration and accreditation effort — not a hardware program — which materially lowers the transition barrier. Background IP (the saliency-pruning method) is protected under standard SBIR data rights; foreground results are delivered to the Government with rights clearly marked, so transition is not encumbered by ambiguous IP claims.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6. Commercialization Strategy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{company_name} pursues a dual-use commercialization path in which the Air Force / Navy customer and the commercial market reinforce each other. The Phase I classifier is the wedge: defense USV programs of record in Phase III, then allied navies, then commercial maritime security — port monitoring and offshore-energy protection — where the same edge-native, power-efficient classifier applies with minimal modification.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Customer discovery is an explicit Phase I activity. We have identified an initial defense end-user (a USV program office) and will conduct structured interviews to validate the operational requirement, the accreditation path, and the sustainment model (a delivered, accredited model plus a maintenance and re-training subscription). On the commercial side, the serviceable market is projected to grow from roughly $8M/yr in 2026 to over $60M/yr by 2030; {company_name}’s position is defensible against shore-side incumbents because on-vessel inference is a capability they structurally cannot match. The dual-use revenue path reduces reliance on any single government program and is detailed in the separate Commercialization volume.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7. Key Personnel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Dr. Mara Ellison (Principal Investigator, 0.30 FTE) — 12 years in low-power machine learning for sensing; author of the quantization research underpinning {company_name}’s core IP. Tomas Reyes (Senior Systems Engineer) — 9 years of embedded real-time systems, two fielded maritime autonomy stacks; owns the edge-port and scheduler tasks. Priya Nandakumar (ML Engineer) — model compression and data augmentation; leads corpus curation and quantization-aware training. The team has collaborated on two prior efforts and shares a common toolchain, de-risking the six-month schedule. Full biographies appear in the Key Personnel supporting document.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8. Foreign Citizens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{company_name} anticipates no foreign nationals performing on this effort. All key personnel are U.S. citizens. Should any individual requiring disclosure be added, {company_name} will notify the Contracting Officer and provide the required country of origin and visa/work-permit status prior to their participation, consistent with the solicitation instructions.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9. Facilities and Equipment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{company_name} maintains a 3,200 sq ft engineering facility with a dedicated acoustics bench, a custom anechoic test enclosure, six 2-watt edge-compute development kits, an on-premises GPU training cluster, and a calibrated power-measurement bench for rail-level draw. Data collection leverages an existing partnership with a regional marine research station, providing representative acoustic conditions at no additional Phase I cost. All Phase I work can be performed in-house. Facilities are described in full in the Facilities supporting document.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10. Subcontractors and Consultants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{company_name} will engage one consultant — an acoustics subject-matter expert (40 hours) — to review the corpus curation methodology and the evaluation protocol, budgeted in the Cost Volume. No subcontractors are proposed for Phase I; all development is performed by {company_name} personnel. The consultant will not have access to limited-rights data beyond what is required for the review.</w:t>
      </w:r>
    </w:p>
    <w:p>
      <w:pPr>
        <w:pageBreakBefore/>
      </w:pP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11. Prior, Current, or Pending Support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specific work proposed here — edge-deployable, 4-bit maritime acoustic threat classification under a 2-watt ceiling — has not been submitted to, or funded by, any other Federal agency. No prior, current, or pending support duplicates this effort. {company_name}’s background IP (the saliency-pruning method) was developed with internal funds prior to this proposal. Should any overlapping proposal be submitted during the evaluation period, {company_name} will promptly notify the Contracting Officer as required.</w:t>
      </w:r>
    </w:p>
    <w:p>
      <w:pPr>
        <w:pageBreakBefore/>
      </w:pP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References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[1] DARPA Hydrophone Corpus, Distribution A, 2024.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[2] Ellison, M. et al., "Saliency-Guided Quantization for Acoustic Edge Inference," 2025 (in prep).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[3] Reyes, T., "Deterministic Scheduling for Sub-Watt Inference," Embedded ML Workshop, 2024.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[4] Jacob, B. et al., "Quantization and Training of Neural Networks for Efficient Integer-Arithmetic Inference," 2018.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[5] Molchanov, P. et al., "Importance Estimation for Neural Network Pruning," 2019.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Compliance Cross-Reference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This volume addresses each AFWERX/DoD Phase I required element as below; the full compliance matrix is maintained in the proposal workspace and advances to “satisfied” as each section is accepted and locked.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Required element</w:t>
            </w:r>
          </w:p>
        </w:tc>
        <w:tc>
          <w:tcPr>
            <w:tcW w:type="pct" w:w="5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Section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Problem/opportunity significance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Technical objectives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Statement of work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Related work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Future R&amp;D / transition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Commercialization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Key personnel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Foreign citizens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Facilities/equipment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Subcontractors/consultants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</w:tr>
      <w:t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Prior/current/pending support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11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1"/>
        <w:szCs w:val="21"/>
      </w:rPr>
      <w:t xml:space="preserve">AFWERX SBIR Phase I · Topic N251-042 · Proprietary · Page </w:t>
    </w:r>
    <w:r>
      <w:rPr>
        <w:rFonts w:ascii="Arial" w:cs="Arial" w:eastAsia="Arial" w:hAnsi="Arial"/>
        <w:sz w:val="21"/>
        <w:szCs w:val="21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21"/>
        <w:szCs w:val="21"/>
      </w:rPr>
      <w:t xml:space="preserve"> of </w:t>
    </w:r>
    <w:r>
      <w:rPr>
        <w:rFonts w:ascii="Arial" w:cs="Arial" w:eastAsia="Arial" w:hAnsi="Arial"/>
        <w:sz w:val="21"/>
        <w:szCs w:val="21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sz w:val="21"/>
        <w:szCs w:val="21"/>
      </w:rPr>
      <w:t xml:space="preserve">Aerivio Systems — Technical Volume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4"/>
        <w:szCs w:val="24"/>
      </w:rPr>
    </w:rPrDefault>
    <w:pPrDefault>
      <w:pPr>
        <w:spacing w:line="37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e0d1b35d22af11d05f36298e6011dc94caf079d.png"/><Relationship Id="rId10" Type="http://schemas.openxmlformats.org/officeDocument/2006/relationships/image" Target="media/47ce400c7e583ce7432cb5a1fa3646b36cab04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2026-07-17T13:50:58.552Z</dcterms:created>
  <dcterms:modified xsi:type="dcterms:W3CDTF">2026-07-17T13:50:58.552Z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