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1.0  Description of Proposed Phase I Technical Effort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This proposal includes data that shall not be disclosed outside the Government and shall not be duplicated, used, or disclosed—in wh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ole or in part—for any purpose other than to evaluate this proposal (SBIR data rights).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Problem and Significance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First-person-view (FPV) fiber-optic drones have become one of the most difficult unmanned-air-system (UAS) threats on the modern battlefield. Unlike conventional FPV systems, these aircraft require no radio-frequency (RF) link, are immune to RF jamming, and operate in GPS-denied environments—relying almost entirely on continuous electro-optical (EO) imagery for terminal guidance. Fielded at scale in Ukraine and by non-state actors, they defeat the RF-centric and GPS-centric counter-UAS (C-UAS) systems the Navy fields today.</w:t>
      </w:r>
    </w:p>
    <w:p>
      <w:pPr>
        <w:keepNext/>
        <w:keepLines/>
        <w:spacing w:after="20" w:before="140"/>
        <w:jc w:val="center"/>
      </w:pPr>
      <w:r>
        <w:drawing>
          <wp:inline distT="0" distB="0" distL="0" distR="0">
            <wp:extent cx="2381250" cy="2400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after="15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Figure 1.  Fiber-optic FPV drones—no RF link, immune to jamming—now proliferating in current conflicts.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operational consequence is stark. RF-based detection and defeat (jammers, spoofers, high-power microwave) have no emission to exploit; GPS denial has no effect on a vehicle flown by wire over fiber; and kinetic interceptors are cost-prohibitive and collaterally constrained against a sub-$1,000 airframe. A single fiber drone can be produced for a few hundred dollars, yet forces the defender to expend a far costlier effect—an unfavorable cost-exchange and magazine-depth problem that is most acute at the exact moment of a saturating swarm attack against a Naval installation, aircraft on the ramp, or a ship in the littorals.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Existing C-UAS remains optimized for RF disruption or kinetic defeat. Very little work addresses non-kinetic optical defeat of EO-guided fiber drones during the terminal attack—precisely the gap DON26BX03-NP002 targets: a novel, scalable capability to detect, track, identify, and neutralize single and swarm UAS in complex operational environments.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Technical Innovation — GHOST (STORM + DEXTER)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Immobileyes proposes GHOST (Guided Hostile Optical Sensor-hijacking Technology), a software-defined optical counter-UAS architecture integrating two mature Immobileyes/AlphaMicron technologies: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STORM — AI-enabled EO/IR detection, identification, and tracking with a graduated escalation framework (Warn/Deter → Dazzle/Disrupt → Deny/Damage) and a human-in-the-loop selecting the response level. STORM is detection-agnostic (MOSA): it accepts EO/IR, radar, RF/EW, or TSPI cueing.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DEXTER (Dynamic Electronic Cross-connect for Tactical Energy Routing) — a low-SWaP adaptive liquid-crystal polarization-grating beam router (AlphaMicron) that electronically routes, splits, combines, and redirects laser energy with no moving parts, switching a single beam from one to tens or hundreds of outputs in microseconds.</w:t>
      </w:r>
    </w:p>
    <w:p>
      <w:pPr>
        <w:keepNext/>
        <w:keepLines/>
        <w:spacing w:after="20" w:before="140"/>
        <w:jc w:val="center"/>
      </w:pPr>
      <w:r>
        <w:drawing>
          <wp:inline distT="0" distB="0" distL="0" distR="0">
            <wp:extent cx="4457700" cy="1190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after="15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Figure 2.  STORM graduated-escalation kill chain (Find→Fix→Track→Target→Engage→Designate); the multi-beam "shotgun" architecture engages swarms simultaneously.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Optical Seeker-Confusion Mechanism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effort extends the Navy's patented seeker-confusion principle (U.S. Patents 8,305,252 and 8,212,709). The Navy demonstrated that a continuous-wave optical source placed within an imaging seeker's field of view generates a localized high-intensity region that the tracking algorithm interprets as a feature or target; the tracker's centroid or feature-match then migrates toward the induced source, steering the vehicle away from the protected asset. Modern EO-guided FPV fiber drones rely on the same class of feature-tracking and optical-flow guidance running on uncooled CMOS/CCD cameras. Against those sensors, controlled illumination produces image saturation, blooming, false high-intensity features, contrast collapse, and machine-vision confusion—degrading or breaking terminal lock without physical destruction.</w:t>
      </w:r>
    </w:p>
    <w:p>
      <w:pPr>
        <w:keepNext/>
        <w:keepLines/>
        <w:spacing w:after="20" w:before="140"/>
        <w:jc w:val="center"/>
      </w:pPr>
      <w:r>
        <w:drawing>
          <wp:inline distT="0" distB="0" distL="0" distR="0">
            <wp:extent cx="4095750" cy="1266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after="15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Figure 3.  Drone-camera view, without vs. with a 450 nm blue optical effect—demonstrated against a representative EO camera.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GHOST investigates the wavelength, dwell, polarization, and beam-geometry parameters that maximize this effect across representative EO camera types, and characterizes the transition from reversible dazzle (Zone 2) to persistent denial (Zone 3) as a function of delivered irradiance—giving the operator a calibrated, proportional response rather than a single binary effect.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DEXTER Adaptive Beam Routing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enabling technology is DEXTER, built on AlphaMicron liquid-crystal polarization gratings (Pancharatnam–Berry-phase optics) that diffract incident light into selectable orders under low-voltage control, with no moving parts. Cascading these elements lets DEXTER electronically route a single laser source to one or many output channels in microseconds—splitting, combining, and steering beams to form the multi-beam "shotgun" that engages several targets at once. This replaces heavy, slow, failure-prone gimbaled mirror trains with a low-SWaP, solid-state, software-defined aperture, and enables a distributed architecture in which multiple beam directors share one laser source across fixed, mobile, shipboard, and expeditionary platforms.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GHOST is therefore not a fixed dazzler but a software-defined effector: wavelength (multi-wavelength green/red/blue + IR), polarization, dwell, and beam geometry are selected in real time; a single sub-kilowatt laser source is electronically allocated across multiple beam directors for multi-target and swarm engagement without duplicating laser hardware.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System Snapshot — Key Attributes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</w:trPr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Attribute</w:t>
            </w:r>
          </w:p>
        </w:tc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GHOST / STORM–DEXTER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Laser output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&lt; 1 kW total, software-allocated across beams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Effective range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Dazzle &lt; 1 km; visual warning &gt; 1 km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Wavelengths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Multi-wavelength — green / red / blue (450 nm) + IR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Beam routing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DEXTER liquid-crystal grating: 1 → tens–hundreds of beams, microsecond switching, no moving parts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Cueing / integration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Detection-agnostic MOSA — EO/IR, radar, RF/EW, TSPI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Engagement doctrine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Graduated Warn/Deter → Dazzle/Disrupt → Deny/Damage; human-in-the-loop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Maturity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Builds on TRL-5 AF STTR (HALAR-L) + TACFI prototype lineage</w:t>
            </w:r>
          </w:p>
        </w:tc>
      </w:tr>
    </w:tbl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1.1  Phase I Technical Objectives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Phase I will establish the technical feasibility of the STORM/DEXTER optical counter-UAS approach against EO-guided Group 1–2 UAS. Specific objectives: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Objective 1 — Assess technical feasibility. Evaluate extending the Navy's seeker-confusion concept from IR seekers to EO-guided fiber-optic drones; characterize the susceptibility of representative EO cameras to controlled optical perturbation and identify the most effective engagement mechanisms.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Objective 2 — Define the STORM/DEXTER C-UAS architecture. Integrate STORM's AI EO/IR detect-track with DEXTER's adaptive beam routing and shaping; identify the hardware and software modifications required to transition to a deployable Navy C-UAS system.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Objective 3 — Quantify performance improvements. Model and measure improvements over existing non-kinetic C-UAS: tracking disruption, multi-target engagement, reduced SWaP, elimination of mechanical beam steering, and effectiveness against RF-jamming-resistant fiber-optic drones.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Objective 4 — Develop a Phase II transition plan. Define the roadmap for a prototype able to recognize, track, and non-kinetically defeat Group 2-and-below UAS, and identify NAVAIR/NAVSEA transition paths.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Phase I Feasibility Metrics (Go / No-Go)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Metric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Phase I Target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Go / No-Go Threshold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EO-camera susceptibility (measurable degradation of terminal tracking)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Demonstrated on ≥ 2 representative EO/FPV cameras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≥ 1 camera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Optical effect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Repeatable saturation / blooming at bench range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Qualitative confirmation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DEXTER multi-beam routing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≥ 3 simultaneously addressable output channels (model/bench)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≥ 2 channels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Predicted SWaP vs. mechanically steered baseline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≥ 30% reduction (analysis)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Net reduction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Architecture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STORM↔DEXTER interface + Navy C-UAS integration defined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Interface defined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Phase I deliverables: Kick-Off Briefing; Progress Report; Final Technical Report documenting the STORM and DEXTER baseline, the Navy C-UAS capability gaps addressed, required modifications, the feasibility assessment, and expected performance improvements; and an Initial Phase II Proposal.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Anticipated Phase I Outcomes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At the conclusion of Phase I, the program will have delivered: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Demonstrated feasibility of applying the Navy seeker-confusion principle to EO-guided FPV fiber-optic drones, evidenced by measured optical degradation of representative EO cameras.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 defined preliminary STORM/DEXTER architecture for Navy C-UAS applications, with the STORM↔DEXTER interface and MOSA integration specified.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Identification of the hardware and software modifications required for a Phase II prototype.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Quantified improvements over existing non-kinetic C-UAS: multi-target engagement, reduced SWaP, elimination of mechanical beam steering, and effectiveness against RF-jamming-resistant fiber-optic drones.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An established technical baseline and transition plan for a Phase II prototype demonstration with NAVAIR/NAVSEA.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1.2  Phase I (Base and Option) Statement of Work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Base effort (6 months) establishes feasibility and the system architecture. The Option (6 months), funded separately, furthers the effort toward Phase II with a breadboard optical-effects demonstration and a prototype/transition package. All work is performed at Immobileyes' Kent, OH facility; no foreign nationals perform on this ITAR-restricted effort.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5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Task</w:t>
            </w:r>
          </w:p>
        </w:tc>
        <w:tc>
          <w:tcPr>
            <w:tcW w:type="pct" w:w="25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Title</w:t>
            </w:r>
          </w:p>
        </w:tc>
        <w:tc>
          <w:tcPr>
            <w:tcW w:type="pct" w:w="25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Months</w:t>
            </w:r>
          </w:p>
        </w:tc>
        <w:tc>
          <w:tcPr>
            <w:tcW w:type="pct" w:w="25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Primary Deliverable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 (Base)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System Definition &amp; Feasibility Assessment — assess the STORM/DEXTER architecture; review Group 1–2 UAS threats, EO cameras, and current Navy C-UAS to define requirements and gaps.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Kick-Off Briefing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 (Base)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System Architecture &amp; Design — preliminary architecture integrating STORM detect-track with DEXTER beam routing; STORM/DEXTER interface; optical-engagement concept; control architecture.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1–3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Progress Report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 (Base)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Optical Countermeasure Feasibility Evaluation — laboratory test and modeling of saturation, blooming, false-feature generation, and contrast degradation against representative EO cameras; compare vs. existing non-kinetic C-UAS.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2–5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Test data &amp; analysis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 (Base)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Transition Assessment &amp; Phase I Reporting — consolidate results; document performance improvements and residual risk.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5–6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Final Technical Report; Initial Phase II Proposal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 (Option)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Breadboard Optical-Effects Demonstration — STORM cue → DEXTER multi-beam routing → measured dazzle/disruption on a representative EO/FPV camera at range; quantify multi-beam swarm geometry.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7–10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Breadboard demo &amp; data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 (Option)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Phase II Prototype Definition &amp; NAVAIR/NAVSEA Transition Package — prototype design baseline, test plan, and integration/transition plan for a Navy C-UAS demonstration.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10–12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Prototype plan &amp; transition package</w:t>
            </w:r>
          </w:p>
        </w:tc>
      </w:tr>
    </w:tbl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Base Period — Task Approach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Task 1 (Month 1) establishes the Group 1–2 EO-guided threat set, catalogs representative FPV/EO camera technologies and current Navy C-UAS capability gaps, and converts them into system requirements and evaluation criteria at the Kick-Off Briefing.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Task 2 (Months 1–3) develops the preliminary GHOST architecture: the STORM↔DEXTER interface, the optical-engagement concept, the preliminary software and control architecture, and the integration requirements for Navy C-UAS platforms over MOSA.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Task 3 (Months 2–5) is the analytical and laboratory core: bench characterization and modeling of saturation, blooming, false-feature generation, and contrast degradation against representative EO cameras, with performance compared against existing non-kinetic C-UAS on tracking disruption, multi-target potential, and SWaP.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Task 4 (Months 5–6) consolidates the results into the Final Technical Report, quantifies expected performance improvements and residual risk, and produces the Initial Phase II Proposal.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Option Period — Task Approach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Task 5 (Months 7–10) builds a bench breadboard that closes the loop STORM cue → DEXTER multi-beam routing → measured optical effect on a representative EO/FPV camera at range, and quantifies the multi-beam swarm-engagement geometry.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Task 6 (Months 10–12) defines the Phase II prototype baseline, test plan, and NAVAIR/NAVSEA integration and transition package for a Navy C-UAS demonstration.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Key Technical Risks and Mitigations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</w:trPr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Technical Risk</w:t>
            </w:r>
          </w:p>
        </w:tc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Mitigation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EO-camera diversity limits generalization of the optical effect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Test a representative camera set; parameterize wavelength, dwell, and beam geometry via DEXTER software control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Atmospheric and seeker variability at operational range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Bench testing plus modeled range analysis; conservative Phase I feasibility claims, with the range demonstration deferred to the Option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Eye-safety and FAA constraints on CONUS employment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FAA-aware graduated escalation (warn/deter first); OSHA laser-safety controls; non-kinetic-first doctrine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Integration risk with Navy sensors and C2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MOSA / detection-agnostic interfaces; reuse of fielded STORM sensor integrations</w:t>
            </w:r>
          </w:p>
        </w:tc>
      </w:tr>
    </w:tbl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Phase I Schedule &amp; Milestones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Milestone / Deliverable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Month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Task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Kick-Off Briefing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M1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Task 1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System architecture + STORM/DEXTER interface defined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M3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Task 2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Progress Report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M3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Task 2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EO-camera optical-effects bench data + comparison analysis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M5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Task 3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Final Technical Report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M6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Task 4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Initial Phase II Proposal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M6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Task 4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Breadboard optical-effects demonstration (Option)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M10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Task 5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Phase II prototype + NAVAIR/NAVSEA transition package (Option)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M12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Task 6</w:t>
            </w:r>
          </w:p>
        </w:tc>
      </w:tr>
    </w:tbl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1.3  Related Work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GHOST builds directly on a funded, TRL-5 directed-energy C-UAS lineage: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Air Force STTR Phase II (HALAR-L). Immobileyes built the Gen-1 HALAR-L directed-energy C-UAS prototype to TRL 5, developed with end-user input from the 72d Security Forces Squadron, Tinker AFB; the company has raised approximately $2M in non-dilutive USAF SBIR/STTR funding. Four prior AF STTR Phase I awards (2021, 2023) with Ohio State, Kent State, and the University of Toledo matured the optical-disruption approach.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AlphaMicron (DEXTER / liquid-crystal optics). Partner since 2020 ($600K in-kind + $1.6M matching); liquid-crystal electro-optics fielded on the Army APEL eyewear program, with AFRL Functional Materials Division ties. Supplies the DEXTER beam-routing technology.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Lighthouse Avionics (detection / sensor fusion). Detection partner with a $1.5M SBIR Phase II and an $800K FAA contract at the UAS Test Site, Griffiss NY, plus U.S. CORE II / Cyber Fortress 25 participation; fuses EO/IR, ADS-B, Remote ID, and laser ranging with multi-frame AI.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Demonstrated effect. A 450 nm blue optical effect was demonstrated against a drone camera at 200 m in prior work—direct evidence for the Phase I optical-perturbation hypothesis (Figure 3).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Intellectual property. Immobileyes holds issued U.S. Patents 11,519,701 and 11,686,560 (plus international application WO2025122941A1), extending the Navy seeker-confusion patents (8,305,252; 8,212,709) this effort applies.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This lineage means GHOST does not start at a blank sheet: the STORM detection/tracking stack, the DEXTER liquid-crystal beam router, and the graduated-escalation engagement doctrine are already integrated and field-demonstrated at TRL 5 against Group 1–2 UAS. Phase I therefore concentrates the effort where the technical risk actually is—characterizing and quantifying the optical-perturbation effect against EO-guided fiber-optic seekers—rather than re-developing mature subsystems, which is why a 6-month feasibility effort can credibly retire the key uncertainty and hand a defined prototype baseline to Phase II.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1.4  Defense Need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End users are NAVAIR and NAVSEA C-UAS for Naval installations, Naval aircraft, and ships, plus USMC and Joint-Force expeditionary air defense. The most reasonable near-term use case is fixed and expeditionary point defense of high-value assets against Group 1–2 EO-guided FPV fiber drones that today's RF/GPS-centric C-UAS cannot engage.</w:t>
      </w:r>
    </w:p>
    <w:p>
      <w:pPr>
        <w:keepNext/>
        <w:keepLines/>
        <w:spacing w:after="20" w:before="140"/>
        <w:jc w:val="center"/>
      </w:pPr>
      <w:r>
        <w:drawing>
          <wp:inline distT="0" distB="0" distL="0" distR="0">
            <wp:extent cx="2095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after="15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Figure 4.  Field-deployed STORM effector—low-SWaP, MOSA, tripod- or vehicle-mountable.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Concept of Employment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GHOST deploys as a modular effector cued by existing Navy sensors over MOSA interfaces, in three primary modes: (1) fixed-site installation defense of magazines, flight lines, and command-and-control nodes; (2) shipboard self-defense against EO-guided threats in the littorals; and (3) expeditionary or vehicle-mounted defense of maneuvering forces. In every mode the graduated escalation framework lets the operator apply the minimum necessary effect—warn, dazzle, or deny—preserving rules-of-engagement latitude and minimizing collateral and airspace risk. Because a single laser source is fanned into many DEXTER-routed beams, one effector engages multiple inbound drones without the magazine-depth penalty of kinetic interceptors.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GHOST's graduated, non-kinetic, low-collateral effect is uniquely suited to CONUS bases and ships, where kinetic defeat is constrained by collateral risk, cost-per-shot, and FAA/host-nation airspace rules—GHOST is FAA-aware by design. STORM's MOSA interfaces let the effector drop into existing Navy sensor and C2 architectures rather than replace them, shortening the path to fielded capability.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2.0  Key Personnel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Phase I team is led by Immobileyes technical and program staff; all proposed personnel are U.S. Citizens.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5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Name</w:t>
            </w:r>
          </w:p>
        </w:tc>
        <w:tc>
          <w:tcPr>
            <w:tcW w:type="pct" w:w="25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Role on Effort</w:t>
            </w:r>
          </w:p>
        </w:tc>
        <w:tc>
          <w:tcPr>
            <w:tcW w:type="pct" w:w="25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Education</w:t>
            </w:r>
          </w:p>
        </w:tc>
        <w:tc>
          <w:tcPr>
            <w:tcW w:type="pct" w:w="25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Relevant Experience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Dr. Bahman Taheri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Principal Investigator / Electro-Optics Lead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PhD/MS Physics (Oklahoma State); BS Physics (Cal Poly SLO)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90+ patents; PI on Air Force, Navy (ONR), Army, DOE, and NSF programs in liquid-crystal electro-optics, laser/flash protection, and cholesteric-liquid-crystal laser systems; Secret clearance.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Atossa Alavi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Program Manager / Business &amp; IP Lead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JD (Case Western); USPTO-admitted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Program management, DoD transition, and IP strategy for the AlphaMicron/Immobileyes technology base.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Senior Optical Engineer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DEXTER integration &amp; optical-effects test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MS Optics/Physics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Liquid-crystal beam-steering, laser sources, and EO camera characterization.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Electrical / Software Engineers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STORM tracking &amp; control; test automation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BS/MS EE, CS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Real-time detect-track, control electronics, and data pipelines for the feasibility campaign.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Phase I team combines a nationally recognized electro-optics research group with in-house engineering and machining staff, all under one roof at the Kent, OH facility. Dr. Taheri holds a Secret clearance and has served as principal investigator on directed-energy and liquid-crystal programs for the Air Force, Navy (ONR), Army, DOE, and NSF; the supporting optical, electrical, software, and mechanical engineers executed the HALAR-L and TACFI C-UAS prototypes. This depth lets the team run the Phase I laboratory campaign without new hires or subcontracted labor, and provides direct continuity into a Phase II prototype.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Restriction on performance by foreign persons: this topi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 is ITAR-restricted (22 CFR 120–130). No foreign nationals are proposed to perform on this effort; all personnel are U.S. Citizens, consistent with topic §3.5.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3.0  Commercialization / Transition Plan Summary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DoD transition targets NAVAIR and NAVSEA (installation and ship C-UAS), the USMC, Army RCCTO, and Air Force Security Forces—building on the established Tinker AFB 72d SFS relationship. Non-DoD markets include critical-infrastructure and homeland defense—airports, nuclear facilities, and border security—where non-kinetic, FAA-aware defeat is essential.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Transition Path and Timeline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Phase I establishes feasibility; Phase II delivers a TRL-6 prototype for a Navy operational demonstration, building directly on the TRL-5 HALAR-L baseline and the ~$2M of non-dilutive USAF SBIR/STTR investment already made in the underlying technology; Phase III targets production effectors and integration onto Navy C-UAS programs of record. The established 72d Security Forces Squadron (Tinker AFB) relationship, combined with NAVAIR and NAVSEA transition sponsors identified in Task 6, de-risks the path from prototype to program of record.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Immobileyes' AlphaMicron partnership (liquid-crystal manufacturing) and Lighthouse Avionics partnership (sensor integration and FAA test access) provide a manufacturing and integration base and a dual-use path spanning counter-UAS optics, protective eyewear, and laser-safety products—markets that amortize non-recurring engineering and sustain the production line between defense deliveries. As EO-guided drone threats proliferate, both the DoD C-UAS market and the parallel homeland/critical-infrastructure market are expanding rapidly, and an FAA-aware, non-kinetic effector is differentiated for CONUS employment where kinetic options are precluded.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Facilities / Equipment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Immobileyes operates a 30,000 square-foot, ISO-9001 facility in Kent, OH with seven laboratories, including an electro-optics/laser laboratory (optical benches and multi-wavelength laser sources) and a MIL-SPEC environmental test suite, plus in-house liquid-crystal device fabrication and assembly through co-located AlphaMicron.</w:t>
      </w:r>
    </w:p>
    <w:p>
      <w:pPr>
        <w:keepNext/>
        <w:keepLines/>
        <w:spacing w:after="20" w:before="140"/>
        <w:jc w:val="center"/>
      </w:pPr>
      <w:r>
        <w:drawing>
          <wp:inline distT="0" distB="0" distL="0" distR="0">
            <wp:extent cx="3429000" cy="2228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after="15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Figure 5.  Immobileyes electro-optics/laser laboratory (Kent, OH)—optical benches and multi-wavelength laser sources for the Phase I test campaign.</w:t>
      </w:r>
    </w:p>
    <w:p>
      <w:pPr>
        <w:keepNext/>
        <w:keepLines/>
        <w:spacing w:after="20" w:before="140"/>
        <w:jc w:val="center"/>
      </w:pPr>
      <w:r>
        <w:drawing>
          <wp:inline distT="0" distB="0" distL="0" distR="0">
            <wp:extent cx="3429000" cy="1933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after="15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Figure 6.  In-house manufacturing and assembly capacity (AlphaMicron co-location) supporting Phase II transition.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facility maintains NIST SP 800-171 controls (the basis for the topic's projected CMMC Level 2 (Self)), ITAR registration, and OSHA laser-safety compliance—sufficient to execute all Phase I laboratory tasks without new capital equipment. Firm identifiers: UEI KL3MJVGD9XZ9; CAGE 8KQ82; Woman-Owned Small Business (WOSB).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6"/>
        <w:szCs w:val="16"/>
      </w:rPr>
      <w:t xml:space="preserve">Use or disclosure of proposal data is subject to the restriction on the title page.        Page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sz w:val="16"/>
        <w:szCs w:val="16"/>
      </w:rPr>
      <w:t xml:space="preserve"> of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Times New Roman" w:cs="Times New Roman" w:eastAsia="Times New Roman" w:hAnsi="Times New Roman"/>
        <w:sz w:val="18"/>
        <w:szCs w:val="18"/>
      </w:rPr>
      <w:t xml:space="preserve">Immobileyes, Inc.   ·   Topic DON26BX03-NP002   ·   Volume 2: Technical Volume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7a85131b2d1fca2d86d02fed1fd4f1e8b4be3df.png"/><Relationship Id="rId10" Type="http://schemas.openxmlformats.org/officeDocument/2006/relationships/image" Target="media/b13bef9c471bee1bf52d45d06481129dc1bece56.png"/><Relationship Id="rId11" Type="http://schemas.openxmlformats.org/officeDocument/2006/relationships/image" Target="media/466bc61b2d4e1f09874fa45b1c223085544ae68e.png"/><Relationship Id="rId12" Type="http://schemas.openxmlformats.org/officeDocument/2006/relationships/image" Target="media/f7dceef47b68311eef8226885dd122221b783817.png"/><Relationship Id="rId13" Type="http://schemas.openxmlformats.org/officeDocument/2006/relationships/image" Target="media/1c2279a1fbd28dcf91009d8d8888a7cad674c310.png"/><Relationship Id="rId14" Type="http://schemas.openxmlformats.org/officeDocument/2006/relationships/image" Target="media/6a7e8a3f57732ebdbc810ed7725d0c05e51f3e6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2026-07-20T16:51:21.284Z</dcterms:created>
  <dcterms:modified xsi:type="dcterms:W3CDTF">2026-07-20T16:51:21.284Z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