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keepLines/>
        <w:spacing w:after="140" w:before="140"/>
        <w:jc w:val="center"/>
      </w:pPr>
      <w:r>
        <w:drawing>
          <wp:inline distT="0" distB="0" distL="0" distR="0">
            <wp:extent cx="4457700" cy="914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Abstract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(Public, non-confidential — excluded from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7-page limit.)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Foundation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is an Ohio pre-seed venture that 3D-prints the formwork for residential concrete foundations. By printing the foundation wall shape directly — with common, locally sourced concrete rather than proprietary mortar — Foundation eliminates the traditional build-strip-repair-clean formwork cycle, cutting foundation formwork labor from ~336 hours to ~25 and total formwork cost by roughly 47% on a typical 2,100 sq ft Ohio home. TVSF funds a beta prototype and third-party performance validation, de-risking a $23.7B U.S. formwork market and advancing Ohio's housing-affordability and advanced-manufacturing agenda.</w:t>
      </w:r>
    </w:p>
    <w:p>
      <w:pPr>
        <w:pBdr>
          <w:bottom w:val="single" w:color="94A3B8" w:sz="4"/>
        </w:pBdr>
        <w:spacing w:after="80" w:before="80"/>
      </w:pPr>
    </w:p>
    <w:p>
      <w:pPr>
        <w:pStyle w:val="Heading1"/>
        <w:keepNext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#1  Market Opportunity (TAM)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2026 U.S. housing market represents a $410B TAM against a structural ~500,000-home supply/demand gap; "locked-in" 6% mortgages push builders toward new-build "buy-down" economics where every point of cost removed matters.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Foundation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targets the formwork line item of single-family new builds — a $23.7B SAM — with an initial serviceable-obtainable $27.4M SOM in its regional beachhead.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Because foundation 3D printing lowers total home cost ~4% while removing the industry's most labor-intensive, waste-prone step, it converts a cost center into a competitive advantage for builders operating on thin margins.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</w:trPr>
        <w:tc>
          <w:tcPr>
            <w:tcW w:type="pct" w:w="33.333333333333336%"/>
            <w:shd w:color="D9E1F2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Market layer</w:t>
            </w:r>
          </w:p>
        </w:tc>
        <w:tc>
          <w:tcPr>
            <w:tcW w:type="pct" w:w="33.333333333333336%"/>
            <w:shd w:color="D9E1F2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Size</w:t>
            </w:r>
          </w:p>
        </w:tc>
        <w:tc>
          <w:tcPr>
            <w:tcW w:type="pct" w:w="33.333333333333336%"/>
            <w:shd w:color="D9E1F2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Definition</w:t>
            </w:r>
          </w:p>
        </w:tc>
      </w:tr>
      <w:tr>
        <w:trPr>
          <w:cantSplit/>
        </w:trP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TAM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$410B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2026 U.S. housing market</w:t>
            </w:r>
          </w:p>
        </w:tc>
      </w:tr>
      <w:tr>
        <w:trPr>
          <w:cantSplit/>
        </w:trP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SAM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$23.7B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Formwork in single-family new builds</w:t>
            </w:r>
          </w:p>
        </w:tc>
      </w:tr>
      <w:tr>
        <w:trPr>
          <w:cantSplit/>
        </w:trP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SOM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$27.4M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Near-term regional beachhead</w:t>
            </w:r>
          </w:p>
        </w:tc>
      </w:tr>
    </w:tbl>
    <w:p>
      <w:pPr>
        <w:pBdr>
          <w:bottom w:val="single" w:color="94A3B8" w:sz="4"/>
        </w:pBdr>
        <w:spacing w:after="80" w:before="80"/>
      </w:pPr>
    </w:p>
    <w:p>
      <w:pPr>
        <w:pStyle w:val="Heading1"/>
        <w:keepNext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#2  Overview of the Technology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Foundation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's system prints a foundation's wall geometry directly: a build plan is downloaded to the printer, concrete is pumped into the machine, and the nozzle lays concrete one layer at a time. A printing trolley moves laterally and vertically while the whole machine travels along runway rails; the system is electrically powered.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Two differentiators define it: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It uses common, locally sourced concrete — not an expensive proprietary mortar.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An external gate controls material flow at the nozzle, enabling clean starts/stops and consistent layers.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net effect eliminates the build-strip-repair-clean cycle, saving ~311 labor hours per home and cutting formwork production cost ~47–50% and material cost ~60–65% versus mortar-based concrete printers.</w:t>
      </w:r>
    </w:p>
    <w:p>
      <w:pPr>
        <w:pBdr>
          <w:bottom w:val="single" w:color="94A3B8" w:sz="4"/>
        </w:pBdr>
        <w:spacing w:after="80" w:before="80"/>
      </w:pPr>
    </w:p>
    <w:p>
      <w:pPr>
        <w:pStyle w:val="Heading1"/>
        <w:keepNext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#3  Development Stage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technology is at TRL 6–7: core subsystems (concrete delivery, nozzle gate, gantry motion) are demonstrated and the team is building a beta prototype for a relevant application environment. MVP customer requirements are explicit — rapid deployment, reduced labor, structural reliability, and use of locally sourced materials.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TVSF's role is to fund the beta prototype build and an independent third-party performance validation, moving the system from demonstrated subsystems (TRL 6–7) toward a field-validated first printer (TRL 7–8).</w:t>
      </w:r>
    </w:p>
    <w:p>
      <w:pPr>
        <w:pBdr>
          <w:bottom w:val="single" w:color="94A3B8" w:sz="4"/>
        </w:pBdr>
        <w:spacing w:after="80" w:before="80"/>
      </w:pPr>
    </w:p>
    <w:p>
      <w:pPr>
        <w:pStyle w:val="Heading1"/>
        <w:keepNext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#4  Commercialization Strategy (SAM)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Entry is proof-based: local, fragmented buyers whose barriers are trust, portability, and cost, and whose workflow already relies on subcontractors.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Foundation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sells into that workflow as "printing as a service" to general contractors and developers, priced per cubic yard of concrete, and partners with local schools and builders for demos and workforce pipeline.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motion is demos/tours → paid pilot → repeat jobs, using non-dilutive TVSF + SBIR Phase I to reach a validated pilot before scaling into the $23.7B formwork SAM.</w:t>
      </w:r>
    </w:p>
    <w:p>
      <w:pPr>
        <w:pBdr>
          <w:bottom w:val="single" w:color="94A3B8" w:sz="4"/>
        </w:pBdr>
        <w:spacing w:after="80" w:before="80"/>
      </w:pPr>
    </w:p>
    <w:p>
      <w:pPr>
        <w:pStyle w:val="Heading1"/>
        <w:keepNext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#5  Intellectual Property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Foundation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's approach is anchored by two issued U.S. patents: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U.S. Patent 11,273,574 — "Scalable Three-Dimensional Printing Apparatus" (the scalable gantry/print architecture).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U.S. Patent 10,307,959 B2 — "Concrete Delivery System" (the concrete-delivery and nozzle-control mechanism).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Together they protect the two core differentiators — the rail-scalable printer and the externally gated, local-concrete delivery path. Freedom-to-operate and a continuation strategy around the nozzle-gate control are part of the funded work.</w:t>
      </w:r>
    </w:p>
    <w:p>
      <w:pPr>
        <w:pBdr>
          <w:bottom w:val="single" w:color="94A3B8" w:sz="4"/>
        </w:pBdr>
        <w:spacing w:after="80" w:before="80"/>
      </w:pPr>
    </w:p>
    <w:p>
      <w:pPr>
        <w:pStyle w:val="Heading1"/>
        <w:keepNext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#6  Business Model &amp; Pro-forma P&amp;L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Foundation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forms a joint venture per project, programs and prepares the print, and charges per cubic yard of concrete placed, at ≈$20,000 total price per job with a contribution margin of ≈37.5%. Printing-as-a-service keeps capital with Foundation and lowers the builder's barrier to adoption.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50%"/>
            <w:shd w:color="D9E1F2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Pro-forma (per job, illustrative)</w:t>
            </w:r>
          </w:p>
        </w:tc>
        <w:tc>
          <w:tcPr>
            <w:tcW w:type="pct" w:w="50%"/>
            <w:shd w:color="D9E1F2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Value</w:t>
            </w:r>
          </w:p>
        </w:tc>
      </w:tr>
      <w:tr>
        <w:trPr>
          <w:cantSplit/>
        </w:trP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Price per job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$20,000</w:t>
            </w:r>
          </w:p>
        </w:tc>
      </w:tr>
      <w:tr>
        <w:trPr>
          <w:cantSplit/>
        </w:trP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Contribution margin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≈37.5%</w:t>
            </w:r>
          </w:p>
        </w:tc>
      </w:tr>
      <w:tr>
        <w:trPr>
          <w:cantSplit/>
        </w:trP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Contribution per job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$7,500</w:t>
            </w:r>
          </w:p>
        </w:tc>
      </w:tr>
    </w:tbl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Against a $27.4M near-term SOM, a modest fleet of printers running repeat jobs reaches sustainable unit economics quickly; gross margin expands as printer utilization rises.</w:t>
      </w:r>
    </w:p>
    <w:p>
      <w:pPr>
        <w:pBdr>
          <w:bottom w:val="single" w:color="94A3B8" w:sz="4"/>
        </w:pBdr>
        <w:spacing w:after="80" w:before="80"/>
      </w:pPr>
    </w:p>
    <w:p>
      <w:pPr>
        <w:pStyle w:val="Heading1"/>
        <w:keepNext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#7  Current Financial Stage &amp; Fundraising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Foundation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is pre-seed. The capital plan pairs $200k TVSF and $150k SBIR Phase I (non-dilutive, directed at R&amp;D and the beta prototype) with a targeted $1.8M+ equity round.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Equity investment is critical to scaling beyond the first printer; the non-dilutive grants exist to prove the market and de-risk the technology first, so the equity raise is priced on validated performance rather than on a concept. TVSF is the near-term unlock for the validated beta prototype that makes the round investable.</w:t>
      </w:r>
    </w:p>
    <w:p>
      <w:pPr>
        <w:pBdr>
          <w:bottom w:val="single" w:color="94A3B8" w:sz="4"/>
        </w:pBdr>
        <w:spacing w:after="80" w:before="80"/>
      </w:pPr>
    </w:p>
    <w:p>
      <w:pPr>
        <w:pStyle w:val="Heading1"/>
        <w:keepNext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#8  Team / Management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</w:trPr>
        <w:tc>
          <w:tcPr>
            <w:tcW w:type="pct" w:w="33.333333333333336%"/>
            <w:shd w:color="D9E1F2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pct" w:w="33.333333333333336%"/>
            <w:shd w:color="D9E1F2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Role</w:t>
            </w:r>
          </w:p>
        </w:tc>
        <w:tc>
          <w:tcPr>
            <w:tcW w:type="pct" w:w="33.333333333333336%"/>
            <w:shd w:color="D9E1F2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Owns</w:t>
            </w:r>
          </w:p>
        </w:tc>
      </w:tr>
      <w:tr>
        <w:trPr>
          <w:cantSplit/>
        </w:trP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Kate Ulepic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Chief Executive Officer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Strategy &amp; fundraising</w:t>
            </w:r>
          </w:p>
        </w:tc>
      </w:tr>
      <w:tr>
        <w:trPr>
          <w:cantSplit/>
        </w:trP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Conor Atkins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Chief Operations Officer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Operations &amp; print execution</w:t>
            </w:r>
          </w:p>
        </w:tc>
      </w:tr>
      <w:tr>
        <w:trPr>
          <w:cantSplit/>
        </w:trP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Connor Casey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Chief Financial Officer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Finance &amp; capital plan</w:t>
            </w:r>
          </w:p>
        </w:tc>
      </w:tr>
      <w:tr>
        <w:trPr>
          <w:cantSplit/>
        </w:trP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Will Curley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Chief Technology Officer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Printer &amp; delivery technology</w:t>
            </w:r>
          </w:p>
        </w:tc>
      </w:tr>
    </w:tbl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team has identified and is actively recruiting for its known gaps — legal advisor, fundraiser, technician, and homebuilder partner — and is mentored through the Entrepreneurs' Center (Paul Jackson, VP Strategic Programs).</w:t>
      </w:r>
    </w:p>
    <w:p>
      <w:pPr>
        <w:pBdr>
          <w:bottom w:val="single" w:color="94A3B8" w:sz="4"/>
        </w:pBdr>
        <w:spacing w:after="80" w:before="80"/>
      </w:pPr>
    </w:p>
    <w:p>
      <w:pPr>
        <w:pStyle w:val="Heading1"/>
        <w:keepNext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#9  Competitive Landscape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Against Traditional Formwork, Vitruvian, and COBOD International,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Foundation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wins on the dimensions that decide adoption: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</w:trPr>
        <w:tc>
          <w:tcPr>
            <w:tcW w:type="pct" w:w="20%"/>
            <w:shd w:color="D9E1F2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Dimension</w:t>
            </w:r>
          </w:p>
        </w:tc>
        <w:tc>
          <w:tcPr>
            <w:tcW w:type="pct" w:w="20%"/>
            <w:shd w:color="D9E1F2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Foundation</w:t>
            </w:r>
          </w:p>
        </w:tc>
        <w:tc>
          <w:tcPr>
            <w:tcW w:type="pct" w:w="20%"/>
            <w:shd w:color="D9E1F2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Traditional</w:t>
            </w:r>
          </w:p>
        </w:tc>
        <w:tc>
          <w:tcPr>
            <w:tcW w:type="pct" w:w="20%"/>
            <w:shd w:color="D9E1F2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Vitruvian</w:t>
            </w:r>
          </w:p>
        </w:tc>
        <w:tc>
          <w:tcPr>
            <w:tcW w:type="pct" w:w="20%"/>
            <w:shd w:color="D9E1F2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COBOD</w:t>
            </w:r>
          </w:p>
        </w:tc>
      </w:tr>
      <w:tr>
        <w:trPr>
          <w:cantSplit/>
        </w:trP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Time (days)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✗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</w:tr>
      <w:tr>
        <w:trPr>
          <w:cantSplit/>
        </w:trP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Deployment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✗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✗</w:t>
            </w:r>
          </w:p>
        </w:tc>
      </w:tr>
      <w:tr>
        <w:trPr>
          <w:cantSplit/>
        </w:trP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Material accessibility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✗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✗</w:t>
            </w:r>
          </w:p>
        </w:tc>
      </w:tr>
      <w:tr>
        <w:trPr>
          <w:cantSplit/>
        </w:trP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Project costs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✗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✗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✗</w:t>
            </w:r>
          </w:p>
        </w:tc>
      </w:tr>
      <w:tr>
        <w:trPr>
          <w:cantSplit/>
        </w:trP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Scalability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✗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</w:tr>
      <w:tr>
        <w:trPr>
          <w:cantSplit/>
        </w:trP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Repeatable workflow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✗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</w:tr>
    </w:tbl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Foundation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is the only option that combines local-material accessibility and lowest project cost with rapid, scalable, repeatable deployment — traditional formwork is slow and labor-heavy, while other printers depend on costly proprietary mortar.</w:t>
      </w:r>
    </w:p>
    <w:p>
      <w:pPr>
        <w:pBdr>
          <w:bottom w:val="single" w:color="94A3B8" w:sz="4"/>
        </w:pBdr>
        <w:spacing w:after="80" w:before="80"/>
      </w:pPr>
    </w:p>
    <w:p>
      <w:pPr>
        <w:pStyle w:val="Heading1"/>
        <w:keepNext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#10  Economic Impact (Ohio)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Foundation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is Ohio-based and Ohio-building. It lowers the cost of new single-family homes in a state facing a supply gap, supports builder margins, and creates skilled advanced-manufacturing and print-operator jobs.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By partnering with local schools and builders for demos and training, it seeds a regional workforce pipeline and keeps concrete spend with local suppliers rather than proprietary-mortar vendors — compounding the in-state economic return of each job.</w:t>
      </w:r>
    </w:p>
    <w:p>
      <w:pPr>
        <w:pBdr>
          <w:bottom w:val="single" w:color="94A3B8" w:sz="4"/>
        </w:pBdr>
        <w:spacing w:after="80" w:before="80"/>
      </w:pPr>
    </w:p>
    <w:p>
      <w:pPr>
        <w:pStyle w:val="Heading1"/>
        <w:keepNext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#11  Project Plan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Milestones (name · description · success criteria · timeframe · approximate funds):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</w:trPr>
        <w:tc>
          <w:tcPr>
            <w:tcW w:type="pct" w:w="20%"/>
            <w:shd w:color="D9E1F2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pct" w:w="20%"/>
            <w:shd w:color="D9E1F2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Milestone</w:t>
            </w:r>
          </w:p>
        </w:tc>
        <w:tc>
          <w:tcPr>
            <w:tcW w:type="pct" w:w="20%"/>
            <w:shd w:color="D9E1F2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Success criteria</w:t>
            </w:r>
          </w:p>
        </w:tc>
        <w:tc>
          <w:tcPr>
            <w:tcW w:type="pct" w:w="20%"/>
            <w:shd w:color="D9E1F2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Timeframe</w:t>
            </w:r>
          </w:p>
        </w:tc>
        <w:tc>
          <w:tcPr>
            <w:tcW w:type="pct" w:w="20%"/>
            <w:shd w:color="D9E1F2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Funds</w:t>
            </w:r>
          </w:p>
        </w:tc>
      </w:tr>
      <w:tr>
        <w:trPr>
          <w:cantSplit/>
        </w:trP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Hire core team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Technician/operator roles filled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Months 1–2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$10,000</w:t>
            </w:r>
          </w:p>
        </w:tc>
      </w:tr>
      <w:tr>
        <w:trPr>
          <w:cantSplit/>
        </w:trP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R&amp;D with Converge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Validated printer + delivery/gate specs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Months 3–4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$190,000</w:t>
            </w:r>
          </w:p>
        </w:tc>
      </w:tr>
      <w:tr>
        <w:trPr>
          <w:cantSplit/>
        </w:trP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Beta prototype build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Prints a test wall to spec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Months 6–8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(in R&amp;D)</w:t>
            </w:r>
          </w:p>
        </w:tc>
      </w:tr>
      <w:tr>
        <w:trPr>
          <w:cantSplit/>
        </w:trP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Third-party validation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Passing structural + throughput report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Months 9–14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$30,000</w:t>
            </w:r>
          </w:p>
        </w:tc>
      </w:tr>
      <w:tr>
        <w:trPr>
          <w:cantSplit/>
        </w:trP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First printer build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Pilot-ready production unit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Months 11–14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$300,000</w:t>
            </w:r>
          </w:p>
        </w:tc>
      </w:tr>
    </w:tbl>
    <w:p>
      <w:pPr>
        <w:pBdr>
          <w:bottom w:val="single" w:color="94A3B8" w:sz="4"/>
        </w:pBdr>
        <w:spacing w:after="80" w:before="80"/>
      </w:pPr>
    </w:p>
    <w:p>
      <w:pPr>
        <w:pStyle w:val="Heading1"/>
        <w:keepNext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#12  Budget by Spend Type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TVSF request: $200,000 of OTF Project Funds.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</w:trPr>
        <w:tc>
          <w:tcPr>
            <w:tcW w:type="pct" w:w="33.333333333333336%"/>
            <w:shd w:color="D9E1F2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Spend type</w:t>
            </w:r>
          </w:p>
        </w:tc>
        <w:tc>
          <w:tcPr>
            <w:tcW w:type="pct" w:w="33.333333333333336%"/>
            <w:shd w:color="D9E1F2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OTF Project Funds</w:t>
            </w:r>
          </w:p>
        </w:tc>
        <w:tc>
          <w:tcPr>
            <w:tcW w:type="pct" w:w="33.333333333333336%"/>
            <w:shd w:color="D9E1F2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Notes</w:t>
            </w:r>
          </w:p>
        </w:tc>
      </w:tr>
      <w:tr>
        <w:trPr>
          <w:cantSplit/>
        </w:trP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Personnel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$40,000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Founding-team time + first technical hire</w:t>
            </w:r>
          </w:p>
        </w:tc>
      </w:tr>
      <w:tr>
        <w:trPr>
          <w:cantSplit/>
        </w:trP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Equipment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$120,000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COTS + specialized printer/delivery parts (beta prototype)</w:t>
            </w:r>
          </w:p>
        </w:tc>
      </w:tr>
      <w:tr>
        <w:trPr>
          <w:cantSplit/>
        </w:trP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Supplies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$10,000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Concrete + consumables for prototype tests</w:t>
            </w:r>
          </w:p>
        </w:tc>
      </w:tr>
      <w:tr>
        <w:trPr>
          <w:cantSplit/>
        </w:trP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Purchased Services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$30,000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Converge development services + software partner</w:t>
            </w:r>
          </w:p>
        </w:tc>
      </w:tr>
      <w:tr>
        <w:trPr>
          <w:cantSplit/>
        </w:trP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TOTAL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$200,000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Narrative: the bulk of the grant funds Equipment (COTS + specialized parts to build the beta prototype with Converge) and Purchased Services (Converge engineering + software partner); Supplies cover concrete for prototype testing; Personnel covers founding-team time and the first technical hire.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6"/>
        <w:szCs w:val="16"/>
      </w:rPr>
      <w:t xml:space="preserve">Foundation — TVSF Application (confidential)        Page </w:t>
    </w:r>
    <w:r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16"/>
        <w:szCs w:val="16"/>
      </w:rPr>
      <w:t xml:space="preserve"> of </w:t>
    </w:r>
    <w:r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Times New Roman" w:cs="Times New Roman" w:eastAsia="Times New Roman" w:hAnsi="Times New Roman"/>
        <w:sz w:val="18"/>
        <w:szCs w:val="18"/>
      </w:rPr>
      <w:t xml:space="preserve">Foundation   ·   Ohio Third Frontier TVSF (Round 45)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  <w:lvl w:ilvl="4" w15:tentative="1">
      <w:start w:val="1"/>
      <w:numFmt w:val="decimal"/>
      <w:lvlText w:val="%5."/>
      <w:lvlJc w:val="start"/>
      <w:pPr>
        <w:ind w:left="3600" w:hanging="360"/>
      </w:pPr>
    </w:lvl>
    <w:lvl w:ilvl="5" w15:tentative="1">
      <w:start w:val="1"/>
      <w:numFmt w:val="decimal"/>
      <w:lvlText w:val="%6."/>
      <w:lvlJc w:val="start"/>
      <w:pPr>
        <w:ind w:left="4320" w:hanging="360"/>
      </w:pPr>
    </w:lvl>
    <w:lvl w:ilvl="6" w15:tentative="1">
      <w:start w:val="1"/>
      <w:numFmt w:val="decimal"/>
      <w:lvlText w:val="%7."/>
      <w:lvlJc w:val="start"/>
      <w:pPr>
        <w:ind w:left="5040" w:hanging="360"/>
      </w:pPr>
    </w:lvl>
    <w:lvl w:ilvl="7" w15:tentative="1">
      <w:start w:val="1"/>
      <w:numFmt w:val="decimal"/>
      <w:lvlText w:val="%8."/>
      <w:lvlJc w:val="start"/>
      <w:pPr>
        <w:ind w:left="5760" w:hanging="360"/>
      </w:pPr>
    </w:lvl>
    <w:lvl w:ilvl="8" w15:tentative="1">
      <w:start w:val="1"/>
      <w:numFmt w:val="decimal"/>
      <w:lvlText w:val="%9."/>
      <w:lvlJc w:val="star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22528255444225561c1e1f13e4e6210cc92d7b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2026-08-22T05:15:08.285Z</dcterms:created>
  <dcterms:modified xsi:type="dcterms:W3CDTF">2026-08-22T05:15:08.285Z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