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238125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d44432"/>
          <w:sz w:val="17"/>
          <w:szCs w:val="17"/>
        </w:rPr>
        <w:t xml:space="preserve">AI + EXPERT  ·  FROM APPLICATION TO SUBMISSION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52"/>
          <w:szCs w:val="52"/>
        </w:rPr>
        <w:t xml:space="preserve">A proposal engine, </w:t>
      </w:r>
      <w:r>
        <w:rPr>
          <w:rFonts w:ascii="Georgia" w:cs="Georgia" w:eastAsia="Georgia" w:hAnsi="Georgia"/>
          <w:i/>
          <w:iCs/>
          <w:color w:val="e85d4a"/>
          <w:sz w:val="52"/>
          <w:szCs w:val="52"/>
        </w:rPr>
        <w:t xml:space="preserve">not a proposal gamble.</w:t>
      </w:r>
    </w:p>
    <w:p>
      <w:pPr>
        <w:spacing w:after="140" w:before="0" w:line="300"/>
      </w:pPr>
      <w:r>
        <w:rPr>
          <w:rFonts w:ascii="Georgia" w:cs="Georgia" w:eastAsia="Georgia" w:hAnsi="Georgia"/>
          <w:i/>
          <w:iCs/>
          <w:color w:val="45403a"/>
          <w:sz w:val="26"/>
          <w:szCs w:val="26"/>
        </w:rPr>
        <w:t xml:space="preserve">Win non-dilutive federal R&amp;D funding — without burning a month of payroll on every submission. We pair 25 years of hands-on expertise with isolated, company-specific AI, so you pursue more opportunities and submit better proposals.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SBIR  ·  STTR  ·  BAA  ·  OTA  ·  CSO  ·  Grants / NOFO</w:t>
      </w:r>
    </w:p>
    <w:tbl>
      <w:tblPr>
        <w:tblW w:type="dxa" w:w="10080"/>
        <w:tblBorders>
          <w:top w:val="single" w:color="dfd2bc" w:sz="4"/>
          <w:left w:val="none"/>
          <w:bottom w:val="single" w:color="dfd2bc" w:sz="4"/>
          <w:right w:val="none"/>
          <w:insideH w:val="single" w:color="dfd2bc" w:sz="4"/>
          <w:insideV w:val="single" w:color="dfd2bc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a181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Federal Sources</w:t>
            </w:r>
          </w:p>
        </w:tc>
        <w:tc>
          <w:tcPr>
            <w:tcW w:type="dxa" w:w="2520"/>
            <w:shd w:fill="1a181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Expert-Review SLA</w:t>
            </w:r>
          </w:p>
        </w:tc>
        <w:tc>
          <w:tcPr>
            <w:tcW w:type="dxa" w:w="2520"/>
            <w:shd w:fill="1a181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Years Fed R&amp;D</w:t>
            </w:r>
          </w:p>
        </w:tc>
        <w:tc>
          <w:tcPr>
            <w:tcW w:type="dxa" w:w="2520"/>
            <w:shd w:fill="1a181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Human-Gated AI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8"/>
                <w:szCs w:val="18"/>
              </w:rPr>
              <w:t xml:space="preserve">4+</w:t>
            </w:r>
          </w:p>
        </w:tc>
        <w:tc>
          <w:tcPr>
            <w:tcW w:type="dxa" w:w="252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72 hours</w:t>
            </w:r>
          </w:p>
        </w:tc>
        <w:tc>
          <w:tcPr>
            <w:tcW w:type="dxa" w:w="252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25+</w:t>
            </w:r>
          </w:p>
        </w:tc>
        <w:tc>
          <w:tcPr>
            <w:tcW w:type="dxa" w:w="252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1a181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tabs>
                <w:tab w:val="right" w:pos="9760"/>
              </w:tabs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  Why RFP Pipeline</w:t>
            </w:r>
            <w:r>
              <w:rPr>
                <w:rFonts w:ascii="Calibri" w:cs="Calibri" w:eastAsia="Calibri" w:hAnsi="Calibri"/>
              </w:rPr>
              <w:tab/>
            </w:r>
            <w:r>
              <w:rPr>
                <w:rFonts w:ascii="Calibri" w:cs="Calibri" w:eastAsia="Calibri" w:hAnsi="Calibri"/>
                <w:b/>
                <w:bCs/>
                <w:caps/>
                <w:color w:val="968775"/>
                <w:sz w:val="15"/>
                <w:szCs w:val="15"/>
              </w:rPr>
              <w:t xml:space="preserve">Opportunity &amp; economics</w:t>
            </w:r>
          </w:p>
        </w:tc>
      </w:tr>
    </w:tbl>
    <w:p>
      <w:pPr>
        <w:spacing w:after="12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Billions a year in non-dilutive funding — most of it left on the table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There are billions each year in non-dilutive federal R&amp;D funding — grant-like money you keep your equity and IP on. Most qualifying small businesses never apply, because the process is opaque, deadline-driven, and expensive to chase. RFP Pipeline makes it accessible: it finds the right opportunities, pairs you with an expert, and turns your best work into compliant, winning proposals.</w:t>
      </w:r>
    </w:p>
    <w:tbl>
      <w:tblPr>
        <w:tblW w:type="dxa" w:w="10080"/>
        <w:tblBorders>
          <w:top w:val="none"/>
          <w:left w:val="single" w:color="2d8b4e" w:sz="24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edf7f0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20"/>
                <w:szCs w:val="20"/>
              </w:rPr>
              <w:t xml:space="preserve">Keep your equity and your IP.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20"/>
                <w:szCs w:val="20"/>
              </w:rPr>
              <w:t xml:space="preserve">Non-dilutive awards fund your R&amp;D without giving up ownership — the cheapest capital a technical small business will ever raise.</w:t>
            </w:r>
          </w:p>
        </w:tc>
      </w:tr>
    </w:tbl>
    <w:p>
      <w:pPr>
        <w:spacing w:after="12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The old way is slow, and it’s expensive</w:t>
      </w:r>
    </w:p>
    <w:tbl>
      <w:tblPr>
        <w:tblW w:type="dxa" w:w="10080"/>
        <w:tblBorders>
          <w:top w:val="single" w:color="dfd2bc" w:sz="4"/>
          <w:left w:val="none"/>
          <w:bottom w:val="single" w:color="dfd2bc" w:sz="4"/>
          <w:right w:val="none"/>
          <w:insideH w:val="single" w:color="dfd2bc" w:sz="4"/>
          <w:insideV w:val="single" w:color="dfd2bc" w:sz="4"/>
        </w:tblBorders>
      </w:tblPr>
      <w:tblGrid>
        <w:gridCol w:w="3100"/>
        <w:gridCol w:w="4260"/>
        <w:gridCol w:w="2000"/>
      </w:tblGrid>
      <w:tr>
        <w:trPr>
          <w:tblHeader/>
        </w:trPr>
        <w:tc>
          <w:tcPr>
            <w:tcW w:type="dxa" w:w="3100"/>
            <w:shd w:fill="1a181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status quo</w:t>
            </w:r>
          </w:p>
        </w:tc>
        <w:tc>
          <w:tcPr>
            <w:tcW w:type="dxa" w:w="4260"/>
            <w:shd w:fill="1a181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costs you</w:t>
            </w:r>
          </w:p>
        </w:tc>
        <w:tc>
          <w:tcPr>
            <w:tcW w:type="dxa" w:w="2000"/>
            <w:shd w:fill="1a181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RFP Pipeline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8"/>
                <w:szCs w:val="18"/>
              </w:rPr>
              <w:t xml:space="preserve">Opportunity monitoring service</w:t>
            </w:r>
          </w:p>
        </w:tc>
        <w:tc>
          <w:tcPr>
            <w:tcW w:type="dxa" w:w="426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~$5,000 / month for a feed you still have to triage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3100"/>
            <w:shd w:fill="faf8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8"/>
                <w:szCs w:val="18"/>
              </w:rPr>
              <w:t xml:space="preserve">Proposal consultant</w:t>
            </w:r>
          </w:p>
        </w:tc>
        <w:tc>
          <w:tcPr>
            <w:tcW w:type="dxa" w:w="4260"/>
            <w:shd w:fill="faf8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Commonly ~10% of the award as a success fee</w:t>
            </w:r>
          </w:p>
        </w:tc>
        <w:tc>
          <w:tcPr>
            <w:tcW w:type="dxa" w:w="2000"/>
            <w:shd w:fill="faf8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Flat fee, no success fee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8"/>
                <w:szCs w:val="18"/>
              </w:rPr>
              <w:t xml:space="preserve">Your team’s time</w:t>
            </w:r>
          </w:p>
        </w:tc>
        <w:tc>
          <w:tcPr>
            <w:tcW w:type="dxa" w:w="426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A month of payroll per submission, from scratch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Draft from your library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/>
          <w:left w:val="single" w:color="d44432" w:sz="24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f5f0e8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20"/>
                <w:szCs w:val="20"/>
              </w:rPr>
              <w:t xml:space="preserve">The math.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20"/>
                <w:szCs w:val="20"/>
              </w:rPr>
              <w:t xml:space="preserve">RFP Pipeline replaces a $5,000/mo monitoring service and a 10%-of-award consultant — for $499/mo and a flat per-proposal fee. No success fee, ever.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1a181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tabs>
                <w:tab w:val="right" w:pos="9760"/>
              </w:tabs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  How it works — the pursuit lifecycle</w:t>
            </w:r>
            <w:r>
              <w:rPr>
                <w:rFonts w:ascii="Calibri" w:cs="Calibri" w:eastAsia="Calibri" w:hAnsi="Calibri"/>
              </w:rPr>
              <w:tab/>
            </w:r>
            <w:r>
              <w:rPr>
                <w:rFonts w:ascii="Calibri" w:cs="Calibri" w:eastAsia="Calibri" w:hAnsi="Calibri"/>
                <w:b/>
                <w:bCs/>
                <w:caps/>
                <w:color w:val="968775"/>
                <w:sz w:val="15"/>
                <w:szCs w:val="15"/>
              </w:rPr>
              <w:t xml:space="preserve">Apply · Curate · Draft · Win</w:t>
            </w:r>
          </w:p>
        </w:tc>
      </w:tr>
    </w:tbl>
    <w:p>
      <w:pPr>
        <w:spacing w:after="12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1 · Apply — find the right opportunity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Daily, expert-curated ingestion across SAM.gov, SBIR.gov, Grants.gov, and agency portals — ranked to your tech areas. Deadline alerts keep you ahead of the clock. Pin a fit to pull its documents in, then open a proposal portal.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2 · Curate — an expert sets you up to win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Within a 72-hour SLA, an RFP expert curates the solicitation and provisions your build — the compliance matrix, the required volumes, and the section molds — straight from the actual solicitation.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3 · Draft — your isolated AI + your team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Your company-specific, isolated AI drafts every section against your own library; your team revises in a stage-gated workspace where a live compliance matrix advances as sections lock. AI is advisory — it proposes, you approve.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4 · Win — submit, and get sharper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Export a compliant, submission-ready package. Record the outcome — a win starts your contract with a kickoff task, and every result feeds your library so winning content ranks higher on the next bid.</w:t>
      </w:r>
    </w:p>
    <w:tbl>
      <w:tblPr>
        <w:tblW w:type="dxa" w:w="10080"/>
        <w:tblBorders>
          <w:top w:val="none"/>
          <w:left w:val="single" w:color="d44432" w:sz="24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f5f0e8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20"/>
                <w:szCs w:val="20"/>
              </w:rPr>
              <w:t xml:space="preserve">A compounding advantage.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20"/>
                <w:szCs w:val="20"/>
              </w:rPr>
              <w:t xml:space="preserve">Because everything you draft is captured to your library with lineage, your second proposal is faster than your first — and your tenth is faster than your second.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1a181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tabs>
                <w:tab w:val="right" w:pos="9760"/>
              </w:tabs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  Discover &amp; prioritize</w:t>
            </w:r>
            <w:r>
              <w:rPr>
                <w:rFonts w:ascii="Calibri" w:cs="Calibri" w:eastAsia="Calibri" w:hAnsi="Calibri"/>
              </w:rPr>
              <w:tab/>
            </w:r>
            <w:r>
              <w:rPr>
                <w:rFonts w:ascii="Calibri" w:cs="Calibri" w:eastAsia="Calibri" w:hAnsi="Calibri"/>
                <w:b/>
                <w:bCs/>
                <w:caps/>
                <w:color w:val="968775"/>
                <w:sz w:val="15"/>
                <w:szCs w:val="15"/>
              </w:rPr>
              <w:t xml:space="preserve">Capabilities 1 of 5</w:t>
            </w:r>
          </w:p>
        </w:tc>
      </w:tr>
    </w:tbl>
    <w:p>
      <w:pPr>
        <w:spacing w:after="10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Opportunity discovery &amp; your ranked pipeline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Every federal opportunity the platform surfaces lands on your Opportunity Pipeline, ranked for you — with agency, program type, close date, and a live submission-stage badge.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8"/>
          <w:szCs w:val="18"/>
        </w:rPr>
        <w:t xml:space="preserve">How it 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daily ingestion across SAM.gov, SBIR.gov, Grants.gov, and agency portals; AI ranks each opportunity against your profile and tech areas; deadline alerts fire before the clock runs out; pin an opportunity to copy its documents into your workspace.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Scoring buckets — rank by your strategy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Define scoring “buckets” — your own lenses on the market — from keywords, agencies, program types, and NAICS codes. Each bucket ranks your entire pipeline by your rules.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8"/>
          <w:szCs w:val="18"/>
        </w:rPr>
        <w:t xml:space="preserve">How it 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transparent, per-factor scoring you can inspect; edit a bucket and the pipeline re-ranks instantly; keep multiple buckets for different pursuit strategies.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Deadline &amp; amendment awareness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The pipeline tracks the submission clock and flags solicitations that change — when an opportunity moves to Updated, you see it, and a resync pulls the new documents in.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8"/>
          <w:szCs w:val="18"/>
        </w:rPr>
        <w:t xml:space="preserve">How it 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submission-stage badges and due dates on every card; an “update available” strip when the agency revises a solicitation; alerts on your dashboard and notification bell.</w:t>
      </w:r>
    </w:p>
    <w:p>
      <w:pPr>
        <w:spacing w:after="2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1a181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tabs>
                <w:tab w:val="right" w:pos="9760"/>
              </w:tabs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  Expert curation &amp; isolated AI</w:t>
            </w:r>
            <w:r>
              <w:rPr>
                <w:rFonts w:ascii="Calibri" w:cs="Calibri" w:eastAsia="Calibri" w:hAnsi="Calibri"/>
              </w:rPr>
              <w:tab/>
            </w:r>
            <w:r>
              <w:rPr>
                <w:rFonts w:ascii="Calibri" w:cs="Calibri" w:eastAsia="Calibri" w:hAnsi="Calibri"/>
                <w:b/>
                <w:bCs/>
                <w:caps/>
                <w:color w:val="968775"/>
                <w:sz w:val="15"/>
                <w:szCs w:val="15"/>
              </w:rPr>
              <w:t xml:space="preserve">Capabilities 2 of 5</w:t>
            </w:r>
          </w:p>
        </w:tc>
      </w:tr>
    </w:tbl>
    <w:p>
      <w:pPr>
        <w:spacing w:after="10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Expert-curated proposal workspaces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An RFP Pipeline expert curates the solicitation and provisions your build — the compliance matrix, required volumes, and section molds — from the actual solicitation. You start unlocked, populated, and ready to write.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8"/>
          <w:szCs w:val="18"/>
        </w:rPr>
        <w:t xml:space="preserve">How it 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a real expert reads the solicitation and builds the skeleton within a 72-hour SLA; provisioning instantiates the compliance matrix + volume molds; a running Ask-the-Expert allowance covers the judgment calls AI can’t make.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Your isolated, company-specific AI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Your AI is walled to your company. It drafts from your library and context — and nothing you write trains a shared model or leaks to another company.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8"/>
          <w:szCs w:val="18"/>
        </w:rPr>
        <w:t xml:space="preserve">How it 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per-company isolation enforced at the data layer; no model training on your content; structured memory grounds drafts in your prior work; untrusted external content is fenced away from the AI.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Compliance built in from the first draft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The compliance matrix is populated the moment your build is provisioned and advances as you lock sections — so readiness is something you can see, not guess.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8"/>
          <w:szCs w:val="18"/>
        </w:rPr>
        <w:t xml:space="preserve">How it 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requirements extracted into a live matrix; an AI compliance pass scores your proposal and flags gaps before an evaluator would; page-fill gauges track you against the agency’s limits.</w:t>
      </w:r>
    </w:p>
    <w:p>
      <w:pPr>
        <w:spacing w:after="2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1a181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tabs>
                <w:tab w:val="right" w:pos="9760"/>
              </w:tabs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  Your library &amp; workspace</w:t>
            </w:r>
            <w:r>
              <w:rPr>
                <w:rFonts w:ascii="Calibri" w:cs="Calibri" w:eastAsia="Calibri" w:hAnsi="Calibri"/>
              </w:rPr>
              <w:tab/>
            </w:r>
            <w:r>
              <w:rPr>
                <w:rFonts w:ascii="Calibri" w:cs="Calibri" w:eastAsia="Calibri" w:hAnsi="Calibri"/>
                <w:b/>
                <w:bCs/>
                <w:caps/>
                <w:color w:val="968775"/>
                <w:sz w:val="15"/>
                <w:szCs w:val="15"/>
              </w:rPr>
              <w:t xml:space="preserve">Capabilities 3 of 5</w:t>
            </w:r>
          </w:p>
        </w:tc>
      </w:tr>
    </w:tbl>
    <w:p>
      <w:pPr>
        <w:spacing w:after="10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A reusable content library that compounds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Upload a document and the platform breaks it into tagged, searchable content pieces you compose into new proposals; capture content from any screen; or turn a past winning proposal into a reusable template.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8"/>
          <w:szCs w:val="18"/>
        </w:rPr>
        <w:t xml:space="preserve">How it 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upload → auto-atomize → tag → reuse; capture-from-screen pulls content in one-way without connecting an account; your content is copied forward into each proposal, so retiring an item never disturbs a proposal already built from it.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The proposal workspace &amp; compliance matrix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The build cockpit: a volume-and-section matrix, a stage-control bar with visible gate requirements, per-section accept-and-lock, and page-fill gauges.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8"/>
          <w:szCs w:val="18"/>
        </w:rPr>
        <w:t xml:space="preserve">How it 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sections carry status, assignee, and a page-fill bar; accept &amp; lock a section to freeze it; when a volume is fully locked its downloads light up; the live compliance matrix advances with every lock.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Templates, versioning &amp; a full audit trail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Reuse a winning structure as a template, keep a version history on every section, and see a complete, attributed record of who did what — human or AI.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8"/>
          <w:szCs w:val="18"/>
        </w:rPr>
        <w:t xml:space="preserve">How it 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save any proposal’s structure as a reusable skeleton; per-section version history with restore; every action posts to an audit trail.</w:t>
      </w:r>
    </w:p>
    <w:p>
      <w:pPr>
        <w:spacing w:after="2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1a181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tabs>
                <w:tab w:val="right" w:pos="9760"/>
              </w:tabs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  The AI workforce</w:t>
            </w:r>
            <w:r>
              <w:rPr>
                <w:rFonts w:ascii="Calibri" w:cs="Calibri" w:eastAsia="Calibri" w:hAnsi="Calibri"/>
              </w:rPr>
              <w:tab/>
            </w:r>
            <w:r>
              <w:rPr>
                <w:rFonts w:ascii="Calibri" w:cs="Calibri" w:eastAsia="Calibri" w:hAnsi="Calibri"/>
                <w:b/>
                <w:bCs/>
                <w:caps/>
                <w:color w:val="968775"/>
                <w:sz w:val="15"/>
                <w:szCs w:val="15"/>
              </w:rPr>
              <w:t xml:space="preserve">Capabilities 4 of 5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An AI workforce works your proposal alongside your team — always advisory, always landing in review for your approval. It never submits, locks, or advances a stage on its own, and it’s governed by budget, rate, and per-run cost caps you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Proposal Studio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runs your draft through three gated loops — Draft, Refine, Compliance — stopping at each gate for your review, comments, and approval, or running all three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AI drafting &amp; full-draft modes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first-draft every empty section from your library, or draft the whole proposal in one pass — guided, restyle-only, or full-auto — in the voice you choose.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Color-team review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runs a red/gold-team pass and posts specific, section-level recommendations into each section’s thread.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Compliance check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scores your proposal against the solicitation’s requirements, pass / fail / partial per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Research scout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gathers market research, prior art, and the competitor landscape into a cited brief. Web results are treated as untrusted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Cost model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assembles your cost volume with live formulas, so the numbers stay consistent and defensible.</w:t>
      </w:r>
    </w:p>
    <w:p>
      <w:pPr>
        <w:spacing w:after="60"/>
      </w:pPr>
    </w:p>
    <w:tbl>
      <w:tblPr>
        <w:tblW w:type="dxa" w:w="10080"/>
        <w:tblBorders>
          <w:top w:val="none"/>
          <w:left w:val="single" w:color="d44432" w:sz="24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f5f0e8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20"/>
                <w:szCs w:val="20"/>
              </w:rPr>
              <w:t xml:space="preserve">Advisory by design.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20"/>
                <w:szCs w:val="20"/>
              </w:rPr>
              <w:t xml:space="preserve">Every AI output — Studio, drafting, review, or a full draft — lands in review, redlined and reversible. Your team is the gate; the AI never advances past it on its own.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1a181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tabs>
                <w:tab w:val="right" w:pos="9760"/>
              </w:tabs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  Collaborate, deliver &amp; win</w:t>
            </w:r>
            <w:r>
              <w:rPr>
                <w:rFonts w:ascii="Calibri" w:cs="Calibri" w:eastAsia="Calibri" w:hAnsi="Calibri"/>
              </w:rPr>
              <w:tab/>
            </w:r>
            <w:r>
              <w:rPr>
                <w:rFonts w:ascii="Calibri" w:cs="Calibri" w:eastAsia="Calibri" w:hAnsi="Calibri"/>
                <w:b/>
                <w:bCs/>
                <w:caps/>
                <w:color w:val="968775"/>
                <w:sz w:val="15"/>
                <w:szCs w:val="15"/>
              </w:rPr>
              <w:t xml:space="preserve">Capabilities 5 of 5</w:t>
            </w:r>
          </w:p>
        </w:tc>
      </w:tr>
    </w:tbl>
    <w:p>
      <w:pPr>
        <w:spacing w:after="10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Team &amp; partner collaboration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Invite teammates and external partners with per-section, per-permission access — view, comment, or edit — so everyone sees exactly what they should and nothing more.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8"/>
          <w:szCs w:val="18"/>
        </w:rPr>
        <w:t xml:space="preserve">How it 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grants are per section and per permission; segregated collaboration spaces wall off partner content; every contributor’s work is attributed; deactivating a member revokes access instantly while keeping their history.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Submission-ready deliverables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Export your proposal as Word, PDF, Excel (cost volumes with live formulas), or a per-volume ZIP — submission-formatted, with figures and tables rendered natively and sections in true document order.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8"/>
          <w:szCs w:val="18"/>
        </w:rPr>
        <w:t xml:space="preserve">How it 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one engine renders every format from one canvas; a packaging review compiles a manifest — volume completeness, required forms, and page/format compliance — before you submit.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Outcome &amp; contract — the flywheel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Record the outcome of every pursuit. A win starts your contract with a kickoff task, and every outcome feeds your library so winning content ranks higher on your next bid.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18"/>
          <w:szCs w:val="18"/>
        </w:rPr>
        <w:t xml:space="preserve">How it 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18"/>
          <w:szCs w:val="18"/>
        </w:rPr>
        <w:t xml:space="preserve">record Won / Lost / Withdrawn once submitted; a win instantiates a contract entity + kickoff; outcome signals re-weight your library so the platform gets sharper the more you use it.</w:t>
      </w:r>
    </w:p>
    <w:p>
      <w:pPr>
        <w:spacing w:after="2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1a181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tabs>
                <w:tab w:val="right" w:pos="9760"/>
              </w:tabs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  Built for trust &amp; control</w:t>
            </w:r>
            <w:r>
              <w:rPr>
                <w:rFonts w:ascii="Calibri" w:cs="Calibri" w:eastAsia="Calibri" w:hAnsi="Calibri"/>
              </w:rPr>
              <w:tab/>
            </w:r>
            <w:r>
              <w:rPr>
                <w:rFonts w:ascii="Calibri" w:cs="Calibri" w:eastAsia="Calibri" w:hAnsi="Calibri"/>
                <w:b/>
                <w:bCs/>
                <w:caps/>
                <w:color w:val="968775"/>
                <w:sz w:val="15"/>
                <w:szCs w:val="15"/>
              </w:rPr>
              <w:t xml:space="preserve">Security &amp; governance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Federal work demands discretion. RFP Pipeline is built so your data stays yours, your AI stays walled to your company, and every action — human or machine — is on the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Isolated, company-specific AI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your AI is walled to your company; your context and content never cross to another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No model training on your data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your proposals and library serve you, never a shared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Multi-tenant isolation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your workspace, library, and proposals are structurally yours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Full audit trail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every action, by every person and every AI, is logged and traceable end to 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AI is advisory &amp; human-gated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it proposes; your team approves. It never auto-writes, submits, or locks.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Governed AI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budget, rate, and per-run cost caps keep AI usage predictable and under your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Your content stays yours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copied forward into each proposal, never crossed between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0"/>
          <w:szCs w:val="20"/>
        </w:rPr>
        <w:t xml:space="preserve">Injection-fenced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untrusted external content is treated as data, never instructions the AI will follow.</w:t>
      </w:r>
    </w:p>
    <w:p>
      <w:pPr>
        <w:spacing w:after="60"/>
      </w:pPr>
    </w:p>
    <w:tbl>
      <w:tblPr>
        <w:tblW w:type="dxa" w:w="10080"/>
        <w:tblBorders>
          <w:top w:val="none"/>
          <w:left w:val="single" w:color="2d8b4e" w:sz="24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edf7f0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20"/>
                <w:szCs w:val="20"/>
              </w:rPr>
              <w:t xml:space="preserve">Proven, not theoretical.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20"/>
                <w:szCs w:val="20"/>
              </w:rPr>
              <w:t xml:space="preserve">The end-to-end flow — discover, curate, draft, comply, export, win — has been verified on real DoD SBIR builds, including a NAVAIR/NAVSEA counter-UAS topic, from a ranked opportunity to a submission-ready, downloadable package.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shd w:fill="1a181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tabs>
                <w:tab w:val="right" w:pos="9760"/>
              </w:tabs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  Plans &amp; who does what</w:t>
            </w:r>
            <w:r>
              <w:rPr>
                <w:rFonts w:ascii="Calibri" w:cs="Calibri" w:eastAsia="Calibri" w:hAnsi="Calibri"/>
              </w:rPr>
              <w:tab/>
            </w:r>
            <w:r>
              <w:rPr>
                <w:rFonts w:ascii="Calibri" w:cs="Calibri" w:eastAsia="Calibri" w:hAnsi="Calibri"/>
                <w:b/>
                <w:bCs/>
                <w:caps/>
                <w:color w:val="968775"/>
                <w:sz w:val="15"/>
                <w:szCs w:val="15"/>
              </w:rPr>
              <w:t xml:space="preserve">Pricing · roles · next step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dfd2bc" w:sz="4"/>
          <w:left w:val="none"/>
          <w:bottom w:val="single" w:color="dfd2bc" w:sz="4"/>
          <w:right w:val="none"/>
          <w:insideH w:val="single" w:color="dfd2bc" w:sz="4"/>
          <w:insideV w:val="single" w:color="dfd2bc" w:sz="4"/>
        </w:tblBorders>
      </w:tblPr>
      <w:tblGrid>
        <w:gridCol w:w="3050"/>
        <w:gridCol w:w="1500"/>
        <w:gridCol w:w="4810"/>
      </w:tblGrid>
      <w:tr>
        <w:trPr>
          <w:tblHeader/>
        </w:trPr>
        <w:tc>
          <w:tcPr>
            <w:tcW w:type="dxa" w:w="3050"/>
            <w:shd w:fill="1a181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500"/>
            <w:shd w:fill="1a181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810"/>
            <w:shd w:fill="1a181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What’s included</w:t>
            </w:r>
          </w:p>
        </w:tc>
      </w:tr>
      <w:tr>
        <w:tc>
          <w:tcPr>
            <w:tcW w:type="dxa" w:w="305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8"/>
                <w:szCs w:val="18"/>
              </w:rPr>
              <w:t xml:space="preserve">Spotlight Subscription (required, monthly)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$499 / mo</w:t>
            </w:r>
          </w:p>
        </w:tc>
        <w:tc>
          <w:tcPr>
            <w:tcW w:type="dxa" w:w="481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Daily ingestion. AI ranking against your profile. Expert-curated compliance matrix. Deadline alerts. 15 min Ask-the-Expert/mo (rolls over). Required to purchase any portal · 3-month minimum.</w:t>
            </w:r>
          </w:p>
        </w:tc>
      </w:tr>
      <w:tr>
        <w:tc>
          <w:tcPr>
            <w:tcW w:type="dxa" w:w="3050"/>
            <w:shd w:fill="faf8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8"/>
                <w:szCs w:val="18"/>
              </w:rPr>
              <w:t xml:space="preserve">Phase I — Like Effort (per proposal)</w:t>
            </w:r>
          </w:p>
        </w:tc>
        <w:tc>
          <w:tcPr>
            <w:tcW w:type="dxa" w:w="1500"/>
            <w:shd w:fill="faf8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$1,999 ea</w:t>
            </w:r>
          </w:p>
        </w:tc>
        <w:tc>
          <w:tcPr>
            <w:tcW w:type="dxa" w:w="4810"/>
            <w:shd w:fill="faf8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SBIR/STTR Phase I, smaller BAA topics, OTA/CSO short-form. 72-hour expert curation. Stage-gated workspace. Custom AI drafting.</w:t>
            </w:r>
          </w:p>
        </w:tc>
      </w:tr>
      <w:tr>
        <w:tc>
          <w:tcPr>
            <w:tcW w:type="dxa" w:w="305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8"/>
                <w:szCs w:val="18"/>
              </w:rPr>
              <w:t xml:space="preserve">Phase II — Like Effort (per proposal)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$4,999 ea</w:t>
            </w:r>
          </w:p>
        </w:tc>
        <w:tc>
          <w:tcPr>
            <w:tcW w:type="dxa" w:w="481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SBIR/STTR Phase II, larger BAA, OTA prototypes, complex NOFOs. 20–50+ page tech volumes. Commercialization plans. $3,999 with a linked Phase I.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7a6d5e"/>
          <w:sz w:val="18"/>
          <w:szCs w:val="18"/>
        </w:rPr>
        <w:t xml:space="preserve">No success fee, ever. Flat, predictable pricing that replaces a $5,000/mo monitoring service and a 10%-of-award consultant.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816"/>
          <w:sz w:val="24"/>
          <w:szCs w:val="24"/>
        </w:rPr>
        <w:t xml:space="preserve">Who does what</w:t>
      </w:r>
    </w:p>
    <w:tbl>
      <w:tblPr>
        <w:tblW w:type="dxa" w:w="10080"/>
        <w:tblBorders>
          <w:top w:val="single" w:color="dfd2bc" w:sz="4"/>
          <w:left w:val="none"/>
          <w:bottom w:val="single" w:color="dfd2bc" w:sz="4"/>
          <w:right w:val="none"/>
          <w:insideH w:val="single" w:color="dfd2bc" w:sz="4"/>
          <w:insideV w:val="single" w:color="dfd2bc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a181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shd w:fill="1a181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they do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8"/>
                <w:szCs w:val="18"/>
              </w:rPr>
              <w:t xml:space="preserve">Company Admin</w:t>
            </w:r>
          </w:p>
        </w:tc>
        <w:tc>
          <w:tcPr>
            <w:tcW w:type="dxa" w:w="696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Runs the company workspace — opens pursuits, invites the team, and drives the build from opportunity to submission.</w:t>
            </w:r>
          </w:p>
        </w:tc>
      </w:tr>
      <w:tr>
        <w:tc>
          <w:tcPr>
            <w:tcW w:type="dxa" w:w="2400"/>
            <w:shd w:fill="faf8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6960"/>
            <w:shd w:fill="faf8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Contributes to assigned proposals and sections, within the access their admin grants.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8"/>
                <w:szCs w:val="18"/>
              </w:rPr>
              <w:t xml:space="preserve">External Partner</w:t>
            </w:r>
          </w:p>
        </w:tc>
        <w:tc>
          <w:tcPr>
            <w:tcW w:type="dxa" w:w="696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Stage-scoped access to a specific proposal — view, comment, or edit only where invited.</w:t>
            </w:r>
          </w:p>
        </w:tc>
      </w:tr>
      <w:tr>
        <w:tc>
          <w:tcPr>
            <w:tcW w:type="dxa" w:w="2400"/>
            <w:shd w:fill="faf8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816"/>
                <w:sz w:val="18"/>
                <w:szCs w:val="18"/>
              </w:rPr>
              <w:t xml:space="preserve">RFP Pipeline Expert</w:t>
            </w:r>
          </w:p>
        </w:tc>
        <w:tc>
          <w:tcPr>
            <w:tcW w:type="dxa" w:w="6960"/>
            <w:shd w:fill="faf8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d5e"/>
                <w:sz w:val="18"/>
                <w:szCs w:val="18"/>
              </w:rPr>
              <w:t xml:space="preserve">Curates the solicitation and provisions your build behind the scenes, so you start on-structure.</w:t>
            </w:r>
          </w:p>
        </w:tc>
      </w:tr>
    </w:tbl>
    <w:p>
      <w:pPr>
        <w:spacing w:after="140"/>
      </w:pPr>
    </w:p>
    <w:p>
      <w:pPr>
        <w:pBdr>
          <w:top w:val="single" w:color="d44432" w:sz="16" w:space="8"/>
        </w:pBdr>
        <w:spacing w:after="40" w:before="60"/>
      </w:pPr>
      <w:r>
        <w:rPr>
          <w:rFonts w:ascii="Georgia" w:cs="Georgia" w:eastAsia="Georgia" w:hAnsi="Georgia"/>
          <w:i/>
          <w:iCs/>
          <w:color w:val="1a1816"/>
          <w:sz w:val="26"/>
          <w:szCs w:val="26"/>
        </w:rPr>
        <w:t xml:space="preserve">From a ranked opportunity to a submission-ready, compliant proposal — with your team in control at every gate.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6d5e"/>
          <w:sz w:val="20"/>
          <w:szCs w:val="20"/>
        </w:rPr>
        <w:t xml:space="preserve">Book a walkthrough on one of your own target opportunities, or apply for the Founding Cohort. Platform launches August 2026.</w:t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d2bc" w:sz="4" w:space="6"/>
      </w:pBdr>
      <w:tabs>
        <w:tab w:val="right" w:pos="10080"/>
      </w:tabs>
    </w:pPr>
    <w:r>
      <w:rPr>
        <w:rFonts w:ascii="Calibri" w:cs="Calibri" w:eastAsia="Calibri" w:hAnsi="Calibri"/>
        <w:color w:val="968775"/>
        <w:sz w:val="15"/>
        <w:szCs w:val="15"/>
      </w:rPr>
      <w:t xml:space="preserve">RFP Pipeline  ·  AI + Expert  ·  From Application to Submission</w:t>
    </w:r>
    <w:r>
      <w:rPr>
        <w:rFonts w:ascii="Calibri" w:cs="Calibri" w:eastAsia="Calibri" w:hAnsi="Calibri"/>
        <w:color w:val="968775"/>
        <w:sz w:val="15"/>
        <w:szCs w:val="15"/>
      </w:rPr>
      <w:tab/>
      <w:t xml:space="preserve">Page </w:t>
    </w:r>
    <w:r>
      <w:rPr>
        <w:rFonts w:ascii="Calibri" w:cs="Calibri" w:eastAsia="Calibri" w:hAnsi="Calibri"/>
        <w:color w:val="9687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40" w:hanging="200"/>
      </w:pPr>
      <w:rPr>
        <w:color w:val="d444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ff6c391a4bfe2ea9cbd0436de54c6a12b9f9a4.png"/><Relationship Id="rId9" Type="http://schemas.openxmlformats.org/officeDocument/2006/relationships/image" Target="media/61b5f58dc427536e1f23b84d6fb4c40142fa6872.png"/><Relationship Id="rId10" Type="http://schemas.openxmlformats.org/officeDocument/2006/relationships/image" Target="media/7d018b90e6f971fbb2880dd766769a1f2ad646e2.png"/><Relationship Id="rId11" Type="http://schemas.openxmlformats.org/officeDocument/2006/relationships/image" Target="media/a266804609f33ae7ba8d400d49bf4cfedf1ad1e7.png"/><Relationship Id="rId12" Type="http://schemas.openxmlformats.org/officeDocument/2006/relationships/image" Target="media/ffd6926aa5af5857d2fbbcc03b1676cf20811146.png"/><Relationship Id="rId13" Type="http://schemas.openxmlformats.org/officeDocument/2006/relationships/image" Target="media/788786bc92c8a01c739f6c130073602afe3191a0.png"/><Relationship Id="rId14" Type="http://schemas.openxmlformats.org/officeDocument/2006/relationships/image" Target="media/9cff72705cbe1fbd0779ed59aae584c71113255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Pipeline — Platform Overview &amp; Capabilities</dc:title>
  <dc:creator>RFP Pipeline</dc:creator>
  <cp:lastModifiedBy>Un-named</cp:lastModifiedBy>
  <cp:revision>1</cp:revision>
  <dcterms:created xsi:type="dcterms:W3CDTF">2026-08-04T03:51:39.242Z</dcterms:created>
  <dcterms:modified xsi:type="dcterms:W3CDTF">2026-08-04T03:51:39.255Z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