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Volume 2 — Technical Volume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{company_name}</w:t>
      </w:r>
      <w:r>
        <w:rPr>
          <w:rFonts w:ascii="Georgia" w:cs="Georgia" w:eastAsia="Georgia" w:hAnsi="Georgia"/>
          <w:sz w:val="24"/>
          <w:szCs w:val="24"/>
        </w:rPr>
        <w:t xml:space="preserve"> — AFWERX SBIR Phase I (CSO)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color w:val="475569"/>
          <w:sz w:val="24"/>
          <w:szCs w:val="24"/>
        </w:rPr>
        <w:t xml:space="preserve">Topic {topic_number}: {topic_title}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color w:val="475569"/>
          <w:sz w:val="24"/>
          <w:szCs w:val="24"/>
        </w:rPr>
        <w:t xml:space="preserve">Period of Performance: 6 months   ·   Requested Funding: $150,000   ·   Distribution: Proprietary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1. Identification and Significance of the Problem or Opportunity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Unmanned surface vessels (USVs) increasingly operate beyond reliable communications, yet current acoustic-threat detection depends on shore-side processing that introduces prohibitive latency. When a SATCOM link degrades — the norm in contested or high-sea-state environments — classification stalls and the vessel loses the ability to distinguish a biologic from a torpedo. Autonomy is throttled precisely when it matters most.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Consider a representative scenario. A USV on a persistent picket mission detects an ambiguous acoustic signature. Under today’s architecture the raw stream is buffered and, if bandwidth permits, relayed to a shore station; the round trip can exceed several seconds. A torpedo closing at 40 knots covers more than 60 meters in that window. The vessel needs a decision at the tactical edge, in tens of milliseconds, with no assumption of connectivity.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threat space is broad and confusable. Table 1 summarizes the principal acoustic classes and why they are hard to distinguish under compression.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Class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Signature character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Confusable with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Torpedo (running)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High-RPM screw, rising tonal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High-speed surface craft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Submarine (transiting)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Low-frequency broadband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Distant shipping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Surface combatant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Multi-blade cavitation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Merchant traffic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Biologic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Click trains / whistles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Sonar transients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Ambient / clutter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Sea-state noise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(baseline)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1: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Acoustic threat taxonomy and principal confusions the classifier must resolve.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Significance: every autonomous hull the Air Force and Navy field inherits this connectivity dependency. Three hard requirements follow and jointly define the problem: the classifier must (i) achieve high balanced accuracy across confusable classes — a mean that hides a torpedo-versus-fast-craft confusion is useless; (ii) return a decision within a worst-case deadline of tens of milliseconds; and (iii) do so within the fielded 2-watt compute budget. Any approach that satisfies two of the three does not transition. The opportunity is timely: the unmanned fleet is scaling while edge-compute modules have matured to run useful inference within single-digit watts. What is missing is the machine-learning-systems work to compress an accurate maritime classifier without destroying it — precisely the gap {company_name} closes.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2. Phase I Technical Objectives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objectives of Phase I are to establish feasibility of the edge classifier against pre-registered, defense-relevant criteria: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1 — Curate and augment the hydrophone training corpus with documented provenance and class balance.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2 — Train and quantize the classifier to 4-bit precision with saliency-guided pruning, holding balanced accuracy above 92%.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3 — Port the runtime to the target 2-watt edge module and benchmark p99 end-to-end latency and sustained power.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4 — Validate accuracy, latency, and power against relevant threat scenarios and document results, limitations, and the Phase II plan.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2.1 Technical Approach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edge module ingests raw hydrophone-array streams, performs on-device feature extraction, and runs a quantized CNN whose outputs feed the USV autonomy bus. Figure 1 shows the architecture; Figure 2 the on-device inference pipeline. All inference occurs on-vessel at a measured 2.0-watt draw.</w:t>
      </w:r>
    </w:p>
    <w:p>
      <w:pPr>
        <w:jc w:val="center"/>
      </w:pPr>
      <w:r>
        <w:rPr>
          <w:rFonts w:ascii="Georgia" w:cs="Georgia" w:eastAsia="Georgia" w:hAnsi="Georgia"/>
          <w:i/>
          <w:iCs/>
          <w:color w:val="999999"/>
          <w:sz w:val="24"/>
          <w:szCs w:val="24"/>
        </w:rPr>
        <w:t xml:space="preserve">[Image: System architecture: hydrophone array to edge AI module to threat classifier and autonomy bus]</w:t>
      </w:r>
    </w:p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Figure 1: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{company_name} edge acoustic-sensing architecture (on-vessel).</w:t>
      </w:r>
    </w:p>
    <w:p>
      <w:pPr>
        <w:jc w:val="center"/>
      </w:pPr>
      <w:r>
        <w:rPr>
          <w:rFonts w:ascii="Georgia" w:cs="Georgia" w:eastAsia="Georgia" w:hAnsi="Georgia"/>
          <w:i/>
          <w:iCs/>
          <w:color w:val="999999"/>
          <w:sz w:val="24"/>
          <w:szCs w:val="24"/>
        </w:rPr>
        <w:t xml:space="preserve">[Image: Inference pipeline: raw audio, STFT, log-mel, quantized CNN, softmax]</w:t>
      </w:r>
    </w:p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Figure 2: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On-device inference pipeline (feature extraction through classification).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Four co-designed components make edge-native classification feasible under the power ceiling. (a) A fixed-point signal front-end (STFT → log-mel, ~40 bins) with array beamforming that yields a bearing estimate alongside the class label, consuming under 15% of the per-frame budget. (b) Quantization-aware training at 4-bit weights / 8-bit activations via a straight-through estimator, holding accuracy within 1.4 points of full precision versus a 9-point drop for post-training quantization.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(c) Saliency-guided structured pruning that scores each channel by its contribution to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inter-class separation</w:t>
      </w:r>
      <w:r>
        <w:rPr>
          <w:rFonts w:ascii="Georgia" w:cs="Georgia" w:eastAsia="Georgia" w:hAnsi="Georgia"/>
          <w:sz w:val="24"/>
          <w:szCs w:val="24"/>
        </w:rPr>
        <w:t xml:space="preserve"> and removes ~70% of parameters while preserving the discriminative bands — {company_name}’s defensible IP (patent pending). (d) A deterministic, statically scheduled runtime that pins inference to reserved cores and disables frequency scaling, guaranteeing a 99th-percentile latency under 100 ms at 2.0 watts.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classifier itself is a compact five-stage residual CNN over the log-mel stream, favoring depth over width and using only operators the target module accelerates natively. Preliminary bench experiments on a representative corpus subset already indicate feasibility (Table 2), and Phase I will formalize and extend them to the full corpus and target hardware.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Full-precision baseline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{company_name} 4-bit target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Balanced accuracy (F1)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93.6%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92%+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Parameters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4.1 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1.2 M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End-to-end latency (p99)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310 ms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&lt;100 ms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Sustained power draw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11 W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2.0 W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2: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Preliminary baseline vs. Phase I target (representative corpus subset).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3. Phase I Statement of Work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six-month effort is organized into four sequential-but-overlapping tasks. Table 3 gives the schedule and lead; the narrative details scope, methods, effort, and deliverables per task.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Task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Description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Months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Lead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Deliverable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Corpus curation &amp; augmentation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1–2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Nandakumar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Labeled dataset + data card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Quantization-aware training + pruning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2–4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Ellison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Trained 4-bit model + accuracy report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Edge port &amp; latency benchmark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4–5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Reyes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Runtime on target module + benchmark log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Validation &amp; final report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5–6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Ellison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Phase I feasibility report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3: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Phase I statement of work (6-month period of performance).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1 — Corpus Curation and Augmentation (Months 1–2)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Assemble a labeled corpus from the DARPA hydrophone release, augmented with sea-state noise, Doppler, and multipath models; balance each class by controlled resampling; document provenance and limitations in a data card. Effort: 0.25 FTE ML engineer. Deliverable: labeled dataset + data card.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2 — Quantization-Aware Training and Pruning (Months 2–4)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Train the classifier with 4-bit quantization and saliency-guided pruning in the loop, iterating the saliency threshold; run ablations attributing accuracy retention to each technique. Effort: 0.30 FTE PI + 0.20 FTE ML engineer. Deliverable: trained 4-bit model + accuracy report on a session-disjoint split.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3 — Edge Port and Latency Benchmark (Months 4–5)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Port the runtime to the 2-watt module, integrate the deterministic scheduler, and benchmark p99 latency and sustained power under continuous load; apply selective mixed precision to the most confusable layers if required. Effort: 0.40 FTE systems engineer. Deliverable: runtime on target + benchmark log.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4 — Validation and Final Report (Months 5–6)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Validate accuracy, latency, and power against relevant threat scenarios from held-out sessions; document results, limitations, and the Phase II plan. Effort: 0.20 FTE PI + support. Deliverable: Phase I feasibility report.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3.1 Evaluation, Data Management, and Risk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Feasibility is judged against pre-registered gates, all of which must pass: balanced F1 ≥ 0.92 on a session-disjoint split; end-to-end p99 latency &lt; 100 ms on target; sustained rail draw ≤ 2.0 W. The full confusion matrix is a deliverable, because the operationally important errors are specific confusions rather than average error. All data derives from the Distribution-A DARPA corpus plus synthetic augmentation — no classified or controlled data — versioned and retained for the period of performance plus three years. The principal risks and mitigations are in Table 4.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Risk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Likelihood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Impact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Mitigation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4-bit accuracy shortfall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Mixed-precision fallback on most confusable layers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Latency exceeds budget on target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Low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Reserve cores + static schedule; profile early in Task 3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Corpus class imbalance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Targeted augmentation + class-balanced sampling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Domain shift (sea state)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Sea-state augmentation + robustness ablation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4: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Principal Phase I risks, likelihood, impact, and mitigation.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4. Related Work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Prior edge-audio efforts target keyword spotting at low fidelity and small class counts; none address multi-class maritime threat discrimination under a hard power ceiling. Post-training quantization strands accuracy on confusable classes; magnitude pruning is blind to inter-class saliency; unstructured sparsity does not map efficiently onto edge vector units. {company_name}’s contribution is the coupling of quantization-aware training with a saliency-guided, structured pruning metric specific to acoustic threat discrimination, validated in preliminary bench tests and pursued as protected IP. We build on established foundations — integer-arithmetic inference, straight-through estimators, and margin-based feature attribution — and contribute their integration and specialization to this operational problem.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5. Relationship with Future Research or Development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Phase I establishes feasibility on the target module. Phase II hardens the module, extends the corpus to fielded recordings, and conducts an at-sea demonstration on a Navy USV against the same gates plus a robustness gate across sea states; we will pursue approximately $1.1M over 24 months. In Phase III we target integration with a USV program of record through the relevant program office. Because the classifier fits the existing compute budget, transition requires only a software integration and accreditation effort — not a hardware program — which materially lowers the transition barrier. Background IP (the saliency-pruning method) is protected under standard SBIR data rights; foreground results are delivered to the Government with rights clearly marked, so transition is not encumbered by ambiguous IP claims.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6. Commercialization Strategy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pursues a dual-use commercialization path in which the Air Force / Navy customer and the commercial market reinforce each other. The Phase I classifier is the wedge: defense USV programs of record in Phase III, then allied navies, then commercial maritime security — port monitoring and offshore-energy protection — where the same edge-native, power-efficient classifier applies with minimal modification.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Customer discovery is an explicit Phase I activity. We have identified an initial defense end-user (a USV program office) and will conduct structured interviews to validate the operational requirement, the accreditation path, and the sustainment model (a delivered, accredited model plus a maintenance and re-training subscription). On the commercial side, the serviceable market is projected to grow from roughly $8M/yr in 2026 to over $60M/yr by 2030; {company_name}’s position is defensible against shore-side incumbents because on-vessel inference is a capability they structurally cannot match. The dual-use revenue path reduces reliance on any single government program and is detailed in the separate Commercialization volume.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7. Key Personnel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Dr. Mara Ellison (Principal Investigator, 0.30 FTE) — 12 years in low-power machine learning for sensing; author of the quantization research underpinning {company_name}’s core IP. Tomas Reyes (Senior Systems Engineer) — 9 years of embedded real-time systems, two fielded maritime autonomy stacks; owns the edge-port and scheduler tasks. Priya Nandakumar (ML Engineer) — model compression and data augmentation; leads corpus curation and quantization-aware training. The team has collaborated on two prior efforts and shares a common toolchain, de-risking the six-month schedule. Full biographies appear in the Key Personnel supporting document.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8. Foreign Citizens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anticipates no foreign nationals performing on this effort. All key personnel are U.S. citizens. Should any individual requiring disclosure be added, {company_name} will notify the Contracting Officer and provide the required country of origin and visa/work-permit status prior to their participation, consistent with the solicitation instructions.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9. Facilities and Equipment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maintains a 3,200 sq ft engineering facility with a dedicated acoustics bench, a custom anechoic test enclosure, six 2-watt edge-compute development kits, an on-premises GPU training cluster, and a calibrated power-measurement bench for rail-level draw. Data collection leverages an existing partnership with a regional marine research station, providing representative acoustic conditions at no additional Phase I cost. All Phase I work can be performed in-house. Facilities are described in full in the Facilities supporting document.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10. Subcontractors and Consultants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will engage one consultant — an acoustics subject-matter expert (40 hours) — to review the corpus curation methodology and the evaluation protocol, budgeted in the Cost Volume. No subcontractors are proposed for Phase I; all development is performed by {company_name} personnel. The consultant will not have access to limited-rights data beyond what is required for the review.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11. Prior, Current, or Pending Support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specific work proposed here — edge-deployable, 4-bit maritime acoustic threat classification under a 2-watt ceiling — has not been submitted to, or funded by, any other Federal agency. No prior, current, or pending support duplicates this effort. {company_name}’s background IP (the saliency-pruning method) was developed with internal funds prior to this proposal. Should any overlapping proposal be submitted during the evaluation period, {company_name} will promptly notify the Contracting Officer as required.</w:t>
      </w:r>
    </w:p>
    <w:p>
      <w:pPr>
        <w:pageBreakBefore/>
      </w:pP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References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[1] DARPA Hydrophone Corpus, Distribution A, 2024.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[2] Ellison, M. et al., "Saliency-Guided Quantization for Acoustic Edge Inference," 2025 (in prep).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[3] Reyes, T., "Deterministic Scheduling for Sub-Watt Inference," Embedded ML Workshop, 2024.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[4] Jacob, B. et al., "Quantization and Training of Neural Networks for Efficient Integer-Arithmetic Inference," 2018.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[5] Molchanov, P. et al., "Importance Estimation for Neural Network Pruning," 2019.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Compliance Cross-Reference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This volume addresses each AFWERX/DoD Phase I required element as below; the full compliance matrix is maintained in the proposal workspace and advances to “satisfied” as each section is accepted and locked.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Required element</w:t>
            </w:r>
          </w:p>
        </w:tc>
        <w:tc>
          <w:tcPr>
            <w:tcW w:type="pct" w:w="5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Section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Problem/opportunity significance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Technical objectives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Statement of work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Related work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Future R&amp;D / transition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Commercialization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Key personnel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Foreign citizens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Facilities/equipment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Subcontractors/consultants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Prior/current/pending support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AFWERX SBIR Phase I · Topic N251-042 · Proprietary · Page  of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sz w:val="18"/>
        <w:szCs w:val="18"/>
      </w:rPr>
      <w:t xml:space="preserve">Aerivio Systems — Technical Volume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7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2026-07-16T22:57:59.146Z</dcterms:created>
  <dcterms:modified xsi:type="dcterms:W3CDTF">2026-07-16T22:57:59.146Z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