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Times New Roman" w:cs="Times New Roman" w:eastAsia="Times New Roman" w:hAnsi="Times New Roman"/>
          <w:b/>
          <w:bCs/>
          <w:sz w:val="22"/>
          <w:szCs w:val="22"/>
        </w:rPr>
        <w:t xml:space="preserve">1.0  Description of Proposed Phase I Technical Effort</w:t>
      </w:r>
    </w:p>
    <w:p>
      <w:pPr>
        <w:spacing w:after="0" w:before="0"/>
        <w:jc w:val="left"/>
      </w:pPr>
      <w:r>
        <w:rPr>
          <w:rFonts w:ascii="Times New Roman" w:cs="Times New Roman" w:eastAsia="Times New Roman" w:hAnsi="Times New Roman"/>
          <w:i/>
          <w:iCs/>
          <w:sz w:val="22"/>
          <w:szCs w:val="22"/>
        </w:rPr>
        <w:t xml:space="preserve">This proposal includes data that shall not be disclosed outside the Government and shall not be duplicated, used, or disclosed—in wh</w:t>
      </w:r>
      <w:r>
        <w:rPr>
          <w:rFonts w:ascii="Times New Roman" w:cs="Times New Roman" w:eastAsia="Times New Roman" w:hAnsi="Times New Roman"/>
          <w:sz w:val="22"/>
          <w:szCs w:val="22"/>
        </w:rPr>
        <w:t xml:space="preserve">ole or in part—for any purpose other than to evaluate this proposal (SBIR data rights).</w:t>
      </w:r>
    </w:p>
    <w:p>
      <w:pPr>
        <w:pStyle w:val="Heading2"/>
        <w:keepNext/>
      </w:pPr>
      <w:r>
        <w:rPr>
          <w:rFonts w:ascii="Times New Roman" w:cs="Times New Roman" w:eastAsia="Times New Roman" w:hAnsi="Times New Roman"/>
          <w:b/>
          <w:bCs/>
          <w:sz w:val="22"/>
          <w:szCs w:val="22"/>
        </w:rPr>
        <w:t xml:space="preserve">Problem and Significance</w:t>
      </w:r>
    </w:p>
    <w:p>
      <w:pPr>
        <w:spacing w:after="0" w:before="0"/>
        <w:jc w:val="left"/>
      </w:pPr>
      <w:r>
        <w:rPr>
          <w:rFonts w:ascii="Times New Roman" w:cs="Times New Roman" w:eastAsia="Times New Roman" w:hAnsi="Times New Roman"/>
          <w:sz w:val="22"/>
          <w:szCs w:val="22"/>
        </w:rPr>
        <w:t xml:space="preserve">First-person-view (FPV) fiber-optic drones have become one of the most difficult unmanned-air-system (UAS) threats on the modern battlefield. Unlike conventional FPV systems, these aircraft require no radio-frequency (RF) link, are immune to RF jamming, and operate in GPS-denied environments—relying almost entirely on continuous electro-optical (EO) imagery for terminal guidance. Fielded at scale in Ukraine and by non-state actors, they defeat the RF-centric and GPS-centric counter-UAS (C-UAS) systems the Navy fields today.</w:t>
      </w:r>
    </w:p>
    <w:p>
      <w:pPr>
        <w:keepNext/>
        <w:keepLines/>
        <w:spacing w:after="20" w:before="140"/>
        <w:jc w:val="center"/>
      </w:pPr>
      <w:r>
        <w:drawing>
          <wp:inline distT="0" distB="0" distL="0" distR="0">
            <wp:extent cx="23812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00300"/>
                    </a:xfrm>
                    <a:prstGeom prst="rect">
                      <a:avLst/>
                    </a:prstGeom>
                  </pic:spPr>
                </pic:pic>
              </a:graphicData>
            </a:graphic>
          </wp:inline>
        </w:drawing>
      </w:r>
    </w:p>
    <w:p>
      <w:pPr>
        <w:keepNext/>
        <w:keepLines/>
        <w:spacing w:after="150"/>
        <w:jc w:val="center"/>
      </w:pPr>
      <w:r>
        <w:rPr>
          <w:rFonts w:ascii="Times New Roman" w:cs="Times New Roman" w:eastAsia="Times New Roman" w:hAnsi="Times New Roman"/>
          <w:i/>
          <w:iCs/>
          <w:color w:val="666666"/>
          <w:sz w:val="20"/>
          <w:szCs w:val="20"/>
        </w:rPr>
        <w:t xml:space="preserve">Figure 1.  Fiber-optic FPV drones—no RF link, immune to jamming—now proliferating in current conflicts.</w:t>
      </w:r>
    </w:p>
    <w:p>
      <w:pPr>
        <w:spacing w:after="0" w:before="0"/>
        <w:jc w:val="left"/>
      </w:pPr>
      <w:r>
        <w:rPr>
          <w:rFonts w:ascii="Times New Roman" w:cs="Times New Roman" w:eastAsia="Times New Roman" w:hAnsi="Times New Roman"/>
          <w:sz w:val="22"/>
          <w:szCs w:val="22"/>
        </w:rPr>
        <w:t xml:space="preserve">The operational consequence is stark. RF-based detection and defeat (jammers, spoofers, high-power microwave) have no emission to exploit; GPS denial has no effect on a vehicle flown by wire over fiber; and kinetic interceptors are cost-prohibitive and collaterally constrained against a sub-$1,000 airframe. A single fiber drone can be produced for a few hundred dollars, yet forces the defender to expend a far costlier effect—an unfavorable cost-exchange and magazine-depth problem that is most acute at the exact moment of a saturating swarm attack against a Naval installation, aircraft on the ramp, or a ship in the littorals.</w:t>
      </w:r>
    </w:p>
    <w:p>
      <w:pPr>
        <w:spacing w:after="0" w:before="0"/>
        <w:jc w:val="left"/>
      </w:pPr>
      <w:r>
        <w:rPr>
          <w:rFonts w:ascii="Times New Roman" w:cs="Times New Roman" w:eastAsia="Times New Roman" w:hAnsi="Times New Roman"/>
          <w:sz w:val="22"/>
          <w:szCs w:val="22"/>
        </w:rPr>
        <w:t xml:space="preserve">Existing C-UAS remains optimized for RF disruption or kinetic defeat. Very little work addresses non-kinetic optical defeat of EO-guided fiber drones during the terminal attack—precisely the gap DON26BX03-NP002 targets: a novel, scalable capability to detect, track, identify, and neutralize single and swarm UAS in complex operational environments.</w:t>
      </w:r>
    </w:p>
    <w:p>
      <w:pPr>
        <w:pStyle w:val="Heading2"/>
        <w:keepNext/>
      </w:pPr>
      <w:r>
        <w:rPr>
          <w:rFonts w:ascii="Times New Roman" w:cs="Times New Roman" w:eastAsia="Times New Roman" w:hAnsi="Times New Roman"/>
          <w:b/>
          <w:bCs/>
          <w:sz w:val="22"/>
          <w:szCs w:val="22"/>
        </w:rPr>
        <w:t xml:space="preserve">Technical Innovation — GHOST (STORM + DEXTER)</w:t>
      </w:r>
    </w:p>
    <w:p>
      <w:pPr>
        <w:spacing w:after="0" w:before="0"/>
        <w:jc w:val="left"/>
      </w:pPr>
      <w:r>
        <w:rPr>
          <w:rFonts w:ascii="Times New Roman" w:cs="Times New Roman" w:eastAsia="Times New Roman" w:hAnsi="Times New Roman"/>
          <w:sz w:val="22"/>
          <w:szCs w:val="22"/>
        </w:rPr>
        <w:t xml:space="preserve">Immobileyes proposes GHOST (Guided Hostile Optical Sensor-hijacking Technology), a software-defined optical counter-UAS architecture integrating two mature Immobileyes/AlphaMicron technologies:</w:t>
      </w:r>
    </w:p>
    <w:p>
      <w:pPr>
        <w:pStyle w:val="ListParagraph"/>
        <w:numPr>
          <w:ilvl w:val="0"/>
          <w:numId w:val="1"/>
        </w:numPr>
      </w:pPr>
      <w:r>
        <w:rPr>
          <w:rFonts w:ascii="Times New Roman" w:cs="Times New Roman" w:eastAsia="Times New Roman" w:hAnsi="Times New Roman"/>
          <w:sz w:val="22"/>
          <w:szCs w:val="22"/>
        </w:rPr>
        <w:t xml:space="preserve">STORM — AI-enabled EO/IR detection, identification, and tracking with a graduated escalation framework (Warn/Deter → Dazzle/Disrupt → Deny/Damage) and a human-in-the-loop selecting the response level. STORM is detection-agnostic (MOSA): it accepts EO/IR, radar, RF/EW, or TSPI cueing.</w:t>
      </w:r>
    </w:p>
    <w:p>
      <w:pPr>
        <w:pStyle w:val="ListParagraph"/>
        <w:numPr>
          <w:ilvl w:val="0"/>
          <w:numId w:val="1"/>
        </w:numPr>
      </w:pPr>
      <w:r>
        <w:rPr>
          <w:rFonts w:ascii="Times New Roman" w:cs="Times New Roman" w:eastAsia="Times New Roman" w:hAnsi="Times New Roman"/>
          <w:sz w:val="22"/>
          <w:szCs w:val="22"/>
        </w:rPr>
        <w:t xml:space="preserve">DEXTER (Dynamic Electronic Cross-connect for Tactical Energy Routing) — a low-SWaP adaptive liquid-crystal polarization-grating beam router (AlphaMicron) that electronically routes, splits, combines, and redirects laser energy with no moving parts, switching a single beam from one to tens or hundreds of outputs in microseconds.</w:t>
      </w:r>
    </w:p>
    <w:p>
      <w:pPr>
        <w:keepNext/>
        <w:keepLines/>
        <w:spacing w:after="20" w:before="140"/>
        <w:jc w:val="center"/>
      </w:pPr>
      <w:r>
        <w:drawing>
          <wp:inline distT="0" distB="0" distL="0" distR="0">
            <wp:extent cx="445770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190625"/>
                    </a:xfrm>
                    <a:prstGeom prst="rect">
                      <a:avLst/>
                    </a:prstGeom>
                  </pic:spPr>
                </pic:pic>
              </a:graphicData>
            </a:graphic>
          </wp:inline>
        </w:drawing>
      </w:r>
    </w:p>
    <w:p>
      <w:pPr>
        <w:keepNext/>
        <w:keepLines/>
        <w:spacing w:after="150"/>
        <w:jc w:val="center"/>
      </w:pPr>
      <w:r>
        <w:rPr>
          <w:rFonts w:ascii="Times New Roman" w:cs="Times New Roman" w:eastAsia="Times New Roman" w:hAnsi="Times New Roman"/>
          <w:i/>
          <w:iCs/>
          <w:color w:val="666666"/>
          <w:sz w:val="20"/>
          <w:szCs w:val="20"/>
        </w:rPr>
        <w:t xml:space="preserve">Figure 2.  STORM graduated-escalation kill chain (Find→Fix→Track→Target→Engage→Designate); the multi-beam "shotgun" architecture engages swarms simultaneously.</w:t>
      </w:r>
    </w:p>
    <w:p>
      <w:pPr>
        <w:pStyle w:val="Heading2"/>
        <w:keepNext/>
      </w:pPr>
      <w:r>
        <w:rPr>
          <w:rFonts w:ascii="Times New Roman" w:cs="Times New Roman" w:eastAsia="Times New Roman" w:hAnsi="Times New Roman"/>
          <w:b/>
          <w:bCs/>
          <w:sz w:val="22"/>
          <w:szCs w:val="22"/>
        </w:rPr>
        <w:t xml:space="preserve">Optical Seeker-Confusion Mechanism</w:t>
      </w:r>
    </w:p>
    <w:p>
      <w:pPr>
        <w:spacing w:after="0" w:before="0"/>
        <w:jc w:val="left"/>
      </w:pPr>
      <w:r>
        <w:rPr>
          <w:rFonts w:ascii="Times New Roman" w:cs="Times New Roman" w:eastAsia="Times New Roman" w:hAnsi="Times New Roman"/>
          <w:sz w:val="22"/>
          <w:szCs w:val="22"/>
        </w:rPr>
        <w:t xml:space="preserve">The effort extends the Navy's patented seeker-confusion principle (U.S. Patents 8,305,252 and 8,212,709). The Navy demonstrated that a continuous-wave optical source placed within an imaging seeker's field of view generates a localized high-intensity region that the tracking algorithm interprets as a feature or target; the tracker's centroid or feature-match then migrates toward the induced source, steering the vehicle away from the protected asset. Modern EO-guided FPV fiber drones rely on the same class of feature-tracking and optical-flow guidance running on uncooled CMOS/CCD cameras. Against those sensors, controlled illumination produces image saturation, blooming, false high-intensity features, contrast collapse, and machine-vision confusion—degrading or breaking terminal lock without physical destruction.</w:t>
      </w:r>
    </w:p>
    <w:p>
      <w:pPr>
        <w:keepNext/>
        <w:keepLines/>
        <w:spacing w:after="20" w:before="140"/>
        <w:jc w:val="center"/>
      </w:pPr>
      <w:r>
        <w:drawing>
          <wp:inline distT="0" distB="0" distL="0" distR="0">
            <wp:extent cx="40957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266825"/>
                    </a:xfrm>
                    <a:prstGeom prst="rect">
                      <a:avLst/>
                    </a:prstGeom>
                  </pic:spPr>
                </pic:pic>
              </a:graphicData>
            </a:graphic>
          </wp:inline>
        </w:drawing>
      </w:r>
    </w:p>
    <w:p>
      <w:pPr>
        <w:keepNext/>
        <w:keepLines/>
        <w:spacing w:after="150"/>
        <w:jc w:val="center"/>
      </w:pPr>
      <w:r>
        <w:rPr>
          <w:rFonts w:ascii="Times New Roman" w:cs="Times New Roman" w:eastAsia="Times New Roman" w:hAnsi="Times New Roman"/>
          <w:i/>
          <w:iCs/>
          <w:color w:val="666666"/>
          <w:sz w:val="20"/>
          <w:szCs w:val="20"/>
        </w:rPr>
        <w:t xml:space="preserve">Figure 3.  Drone-camera view, without vs. with a 450 nm blue optical effect—demonstrated against a representative EO camera.</w:t>
      </w:r>
    </w:p>
    <w:p>
      <w:pPr>
        <w:spacing w:after="0" w:before="0"/>
        <w:jc w:val="left"/>
      </w:pPr>
      <w:r>
        <w:rPr>
          <w:rFonts w:ascii="Times New Roman" w:cs="Times New Roman" w:eastAsia="Times New Roman" w:hAnsi="Times New Roman"/>
          <w:sz w:val="22"/>
          <w:szCs w:val="22"/>
        </w:rPr>
        <w:t xml:space="preserve">GHOST investigates the wavelength, dwell, polarization, and beam-geometry parameters that maximize this effect across representative EO camera types, and characterizes the transition from reversible dazzle (Zone 2) to persistent denial (Zone 3) as a function of delivered irradiance—giving the operator a calibrated, proportional response rather than a single binary effect.</w:t>
      </w:r>
    </w:p>
    <w:p>
      <w:pPr>
        <w:pStyle w:val="Heading2"/>
        <w:keepNext/>
      </w:pPr>
      <w:r>
        <w:rPr>
          <w:rFonts w:ascii="Times New Roman" w:cs="Times New Roman" w:eastAsia="Times New Roman" w:hAnsi="Times New Roman"/>
          <w:b/>
          <w:bCs/>
          <w:sz w:val="22"/>
          <w:szCs w:val="22"/>
        </w:rPr>
        <w:t xml:space="preserve">DEXTER Adaptive Beam Routing</w:t>
      </w:r>
    </w:p>
    <w:p>
      <w:pPr>
        <w:spacing w:after="0" w:before="0"/>
        <w:jc w:val="left"/>
      </w:pPr>
      <w:r>
        <w:rPr>
          <w:rFonts w:ascii="Times New Roman" w:cs="Times New Roman" w:eastAsia="Times New Roman" w:hAnsi="Times New Roman"/>
          <w:sz w:val="22"/>
          <w:szCs w:val="22"/>
        </w:rPr>
        <w:t xml:space="preserve">The enabling technology is DEXTER, built on AlphaMicron liquid-crystal polarization gratings (Pancharatnam–Berry-phase optics) that diffract incident light into selectable orders under low-voltage control, with no moving parts. Cascading these elements lets DEXTER electronically route a single laser source to one or many output channels in microseconds—splitting, combining, and steering beams to form the multi-beam "shotgun" that engages several targets at once. This replaces heavy, slow, failure-prone gimbaled mirror trains with a low-SWaP, solid-state, software-defined aperture, and enables a distributed architecture in which multiple beam directors share one laser source across fixed, mobile, shipboard, and expeditionary platforms.</w:t>
      </w:r>
    </w:p>
    <w:p>
      <w:pPr>
        <w:spacing w:after="0" w:before="0"/>
        <w:jc w:val="left"/>
      </w:pPr>
      <w:r>
        <w:rPr>
          <w:rFonts w:ascii="Times New Roman" w:cs="Times New Roman" w:eastAsia="Times New Roman" w:hAnsi="Times New Roman"/>
          <w:sz w:val="22"/>
          <w:szCs w:val="22"/>
        </w:rPr>
        <w:t xml:space="preserve">GHOST is therefore not a fixed dazzler but a software-defined effector: wavelength (multi-wavelength green/red/blue + IR), polarization, dwell, and beam geometry are selected in real time; a single sub-kilowatt laser source is electronically allocated across multiple beam directors for multi-target and swarm engagement without duplicating laser hardware.</w:t>
      </w:r>
    </w:p>
    <w:p>
      <w:pPr>
        <w:pStyle w:val="Heading2"/>
        <w:keepNext/>
      </w:pPr>
      <w:r>
        <w:rPr>
          <w:rFonts w:ascii="Times New Roman" w:cs="Times New Roman" w:eastAsia="Times New Roman" w:hAnsi="Times New Roman"/>
          <w:b/>
          <w:bCs/>
          <w:sz w:val="22"/>
          <w:szCs w:val="22"/>
        </w:rPr>
        <w:t xml:space="preserve">System Snapshot — Key Attributes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shd w:color="D9E1F2" w:val="solid"/>
          </w:tcPr>
          <w:p>
            <w:pPr>
              <w:jc w:val="center"/>
            </w:pPr>
            <w:r>
              <w:rPr>
                <w:rFonts w:ascii="Times New Roman" w:cs="Times New Roman" w:eastAsia="Times New Roman" w:hAnsi="Times New Roman"/>
                <w:b/>
                <w:bCs/>
                <w:sz w:val="22"/>
                <w:szCs w:val="22"/>
              </w:rPr>
              <w:t xml:space="preserve">Attribute</w:t>
            </w:r>
          </w:p>
        </w:tc>
        <w:tc>
          <w:tcPr>
            <w:tcW w:type="pct" w:w="50%"/>
            <w:shd w:color="D9E1F2" w:val="solid"/>
          </w:tcPr>
          <w:p>
            <w:pPr>
              <w:jc w:val="center"/>
            </w:pPr>
            <w:r>
              <w:rPr>
                <w:rFonts w:ascii="Times New Roman" w:cs="Times New Roman" w:eastAsia="Times New Roman" w:hAnsi="Times New Roman"/>
                <w:b/>
                <w:bCs/>
                <w:sz w:val="22"/>
                <w:szCs w:val="22"/>
              </w:rPr>
              <w:t xml:space="preserve">GHOST / STORM–DEXTER</w:t>
            </w:r>
          </w:p>
        </w:tc>
      </w:tr>
      <w:tr>
        <w:trPr>
          <w:cantSplit/>
        </w:trPr>
        <w:tc>
          <w:p>
            <w:pPr>
              <w:jc w:val="left"/>
            </w:pPr>
            <w:r>
              <w:rPr>
                <w:rFonts w:ascii="Times New Roman" w:cs="Times New Roman" w:eastAsia="Times New Roman" w:hAnsi="Times New Roman"/>
                <w:b w:val="false"/>
                <w:bCs w:val="false"/>
                <w:sz w:val="22"/>
                <w:szCs w:val="22"/>
              </w:rPr>
              <w:t xml:space="preserve">Laser output</w:t>
            </w:r>
          </w:p>
        </w:tc>
        <w:tc>
          <w:p>
            <w:pPr>
              <w:jc w:val="left"/>
            </w:pPr>
            <w:r>
              <w:rPr>
                <w:rFonts w:ascii="Times New Roman" w:cs="Times New Roman" w:eastAsia="Times New Roman" w:hAnsi="Times New Roman"/>
                <w:b w:val="false"/>
                <w:bCs w:val="false"/>
                <w:sz w:val="22"/>
                <w:szCs w:val="22"/>
              </w:rPr>
              <w:t xml:space="preserve">&lt; 1 kW total, software-allocated across beams</w:t>
            </w:r>
          </w:p>
        </w:tc>
      </w:tr>
      <w:tr>
        <w:trPr>
          <w:cantSplit/>
        </w:trPr>
        <w:tc>
          <w:p>
            <w:pPr>
              <w:jc w:val="left"/>
            </w:pPr>
            <w:r>
              <w:rPr>
                <w:rFonts w:ascii="Times New Roman" w:cs="Times New Roman" w:eastAsia="Times New Roman" w:hAnsi="Times New Roman"/>
                <w:b w:val="false"/>
                <w:bCs w:val="false"/>
                <w:sz w:val="22"/>
                <w:szCs w:val="22"/>
              </w:rPr>
              <w:t xml:space="preserve">Effective range</w:t>
            </w:r>
          </w:p>
        </w:tc>
        <w:tc>
          <w:p>
            <w:pPr>
              <w:jc w:val="left"/>
            </w:pPr>
            <w:r>
              <w:rPr>
                <w:rFonts w:ascii="Times New Roman" w:cs="Times New Roman" w:eastAsia="Times New Roman" w:hAnsi="Times New Roman"/>
                <w:b w:val="false"/>
                <w:bCs w:val="false"/>
                <w:sz w:val="22"/>
                <w:szCs w:val="22"/>
              </w:rPr>
              <w:t xml:space="preserve">Dazzle &lt; 1 km; visual warning &gt; 1 km</w:t>
            </w:r>
          </w:p>
        </w:tc>
      </w:tr>
      <w:tr>
        <w:trPr>
          <w:cantSplit/>
        </w:trPr>
        <w:tc>
          <w:p>
            <w:pPr>
              <w:jc w:val="left"/>
            </w:pPr>
            <w:r>
              <w:rPr>
                <w:rFonts w:ascii="Times New Roman" w:cs="Times New Roman" w:eastAsia="Times New Roman" w:hAnsi="Times New Roman"/>
                <w:b w:val="false"/>
                <w:bCs w:val="false"/>
                <w:sz w:val="22"/>
                <w:szCs w:val="22"/>
              </w:rPr>
              <w:t xml:space="preserve">Wavelengths</w:t>
            </w:r>
          </w:p>
        </w:tc>
        <w:tc>
          <w:p>
            <w:pPr>
              <w:jc w:val="left"/>
            </w:pPr>
            <w:r>
              <w:rPr>
                <w:rFonts w:ascii="Times New Roman" w:cs="Times New Roman" w:eastAsia="Times New Roman" w:hAnsi="Times New Roman"/>
                <w:b w:val="false"/>
                <w:bCs w:val="false"/>
                <w:sz w:val="22"/>
                <w:szCs w:val="22"/>
              </w:rPr>
              <w:t xml:space="preserve">Multi-wavelength — green / red / blue (450 nm) + IR</w:t>
            </w:r>
          </w:p>
        </w:tc>
      </w:tr>
      <w:tr>
        <w:trPr>
          <w:cantSplit/>
        </w:trPr>
        <w:tc>
          <w:p>
            <w:pPr>
              <w:jc w:val="left"/>
            </w:pPr>
            <w:r>
              <w:rPr>
                <w:rFonts w:ascii="Times New Roman" w:cs="Times New Roman" w:eastAsia="Times New Roman" w:hAnsi="Times New Roman"/>
                <w:b w:val="false"/>
                <w:bCs w:val="false"/>
                <w:sz w:val="22"/>
                <w:szCs w:val="22"/>
              </w:rPr>
              <w:t xml:space="preserve">Beam routing</w:t>
            </w:r>
          </w:p>
        </w:tc>
        <w:tc>
          <w:p>
            <w:pPr>
              <w:jc w:val="left"/>
            </w:pPr>
            <w:r>
              <w:rPr>
                <w:rFonts w:ascii="Times New Roman" w:cs="Times New Roman" w:eastAsia="Times New Roman" w:hAnsi="Times New Roman"/>
                <w:b w:val="false"/>
                <w:bCs w:val="false"/>
                <w:sz w:val="22"/>
                <w:szCs w:val="22"/>
              </w:rPr>
              <w:t xml:space="preserve">DEXTER liquid-crystal grating: 1 → tens–hundreds of beams, microsecond switching, no moving parts</w:t>
            </w:r>
          </w:p>
        </w:tc>
      </w:tr>
      <w:tr>
        <w:trPr>
          <w:cantSplit/>
        </w:trPr>
        <w:tc>
          <w:p>
            <w:pPr>
              <w:jc w:val="left"/>
            </w:pPr>
            <w:r>
              <w:rPr>
                <w:rFonts w:ascii="Times New Roman" w:cs="Times New Roman" w:eastAsia="Times New Roman" w:hAnsi="Times New Roman"/>
                <w:b w:val="false"/>
                <w:bCs w:val="false"/>
                <w:sz w:val="22"/>
                <w:szCs w:val="22"/>
              </w:rPr>
              <w:t xml:space="preserve">Cueing / integration</w:t>
            </w:r>
          </w:p>
        </w:tc>
        <w:tc>
          <w:p>
            <w:pPr>
              <w:jc w:val="left"/>
            </w:pPr>
            <w:r>
              <w:rPr>
                <w:rFonts w:ascii="Times New Roman" w:cs="Times New Roman" w:eastAsia="Times New Roman" w:hAnsi="Times New Roman"/>
                <w:b w:val="false"/>
                <w:bCs w:val="false"/>
                <w:sz w:val="22"/>
                <w:szCs w:val="22"/>
              </w:rPr>
              <w:t xml:space="preserve">Detection-agnostic MOSA — EO/IR, radar, RF/EW, TSPI</w:t>
            </w:r>
          </w:p>
        </w:tc>
      </w:tr>
      <w:tr>
        <w:trPr>
          <w:cantSplit/>
        </w:trPr>
        <w:tc>
          <w:p>
            <w:pPr>
              <w:jc w:val="left"/>
            </w:pPr>
            <w:r>
              <w:rPr>
                <w:rFonts w:ascii="Times New Roman" w:cs="Times New Roman" w:eastAsia="Times New Roman" w:hAnsi="Times New Roman"/>
                <w:b w:val="false"/>
                <w:bCs w:val="false"/>
                <w:sz w:val="22"/>
                <w:szCs w:val="22"/>
              </w:rPr>
              <w:t xml:space="preserve">Engagement doctrine</w:t>
            </w:r>
          </w:p>
        </w:tc>
        <w:tc>
          <w:p>
            <w:pPr>
              <w:jc w:val="left"/>
            </w:pPr>
            <w:r>
              <w:rPr>
                <w:rFonts w:ascii="Times New Roman" w:cs="Times New Roman" w:eastAsia="Times New Roman" w:hAnsi="Times New Roman"/>
                <w:b w:val="false"/>
                <w:bCs w:val="false"/>
                <w:sz w:val="22"/>
                <w:szCs w:val="22"/>
              </w:rPr>
              <w:t xml:space="preserve">Graduated Warn/Deter → Dazzle/Disrupt → Deny/Damage; human-in-the-loop</w:t>
            </w:r>
          </w:p>
        </w:tc>
      </w:tr>
      <w:tr>
        <w:trPr>
          <w:cantSplit/>
        </w:trPr>
        <w:tc>
          <w:p>
            <w:pPr>
              <w:jc w:val="left"/>
            </w:pPr>
            <w:r>
              <w:rPr>
                <w:rFonts w:ascii="Times New Roman" w:cs="Times New Roman" w:eastAsia="Times New Roman" w:hAnsi="Times New Roman"/>
                <w:b w:val="false"/>
                <w:bCs w:val="false"/>
                <w:sz w:val="22"/>
                <w:szCs w:val="22"/>
              </w:rPr>
              <w:t xml:space="preserve">Maturity</w:t>
            </w:r>
          </w:p>
        </w:tc>
        <w:tc>
          <w:p>
            <w:pPr>
              <w:jc w:val="left"/>
            </w:pPr>
            <w:r>
              <w:rPr>
                <w:rFonts w:ascii="Times New Roman" w:cs="Times New Roman" w:eastAsia="Times New Roman" w:hAnsi="Times New Roman"/>
                <w:b w:val="false"/>
                <w:bCs w:val="false"/>
                <w:sz w:val="22"/>
                <w:szCs w:val="22"/>
              </w:rPr>
              <w:t xml:space="preserve">Builds on TRL-5 AF STTR (HALAR-L) + TACFI prototype lineage</w:t>
            </w:r>
          </w:p>
        </w:tc>
      </w:tr>
    </w:tbl>
    <w:p>
      <w:pPr>
        <w:pStyle w:val="Heading1"/>
        <w:keepNext/>
      </w:pPr>
      <w:r>
        <w:rPr>
          <w:rFonts w:ascii="Times New Roman" w:cs="Times New Roman" w:eastAsia="Times New Roman" w:hAnsi="Times New Roman"/>
          <w:b/>
          <w:bCs/>
          <w:sz w:val="22"/>
          <w:szCs w:val="22"/>
        </w:rPr>
        <w:t xml:space="preserve">1.1  Phase I Technical Objectives</w:t>
      </w:r>
    </w:p>
    <w:p>
      <w:pPr>
        <w:spacing w:after="0" w:before="0"/>
        <w:jc w:val="left"/>
      </w:pPr>
      <w:r>
        <w:rPr>
          <w:rFonts w:ascii="Times New Roman" w:cs="Times New Roman" w:eastAsia="Times New Roman" w:hAnsi="Times New Roman"/>
          <w:sz w:val="22"/>
          <w:szCs w:val="22"/>
        </w:rPr>
        <w:t xml:space="preserve">Phase I will establish the technical feasibility of the STORM/DEXTER optical counter-UAS approach against EO-guided Group 1–2 UAS. Specific objectives:</w:t>
      </w:r>
    </w:p>
    <w:p>
      <w:pPr>
        <w:pStyle w:val="ListParagraph"/>
        <w:numPr>
          <w:ilvl w:val="0"/>
          <w:numId w:val="1"/>
        </w:numPr>
      </w:pPr>
      <w:r>
        <w:rPr>
          <w:rFonts w:ascii="Times New Roman" w:cs="Times New Roman" w:eastAsia="Times New Roman" w:hAnsi="Times New Roman"/>
          <w:sz w:val="22"/>
          <w:szCs w:val="22"/>
        </w:rPr>
        <w:t xml:space="preserve">Objective 1 — Assess technical feasibility. Evaluate extending the Navy's seeker-confusion concept from IR seekers to EO-guided fiber-optic drones; characterize the susceptibility of representative EO cameras to controlled optical perturbation and identify the most effective engagement mechanisms.</w:t>
      </w:r>
    </w:p>
    <w:p>
      <w:pPr>
        <w:pStyle w:val="ListParagraph"/>
        <w:numPr>
          <w:ilvl w:val="0"/>
          <w:numId w:val="1"/>
        </w:numPr>
      </w:pPr>
      <w:r>
        <w:rPr>
          <w:rFonts w:ascii="Times New Roman" w:cs="Times New Roman" w:eastAsia="Times New Roman" w:hAnsi="Times New Roman"/>
          <w:sz w:val="22"/>
          <w:szCs w:val="22"/>
        </w:rPr>
        <w:t xml:space="preserve">Objective 2 — Define the STORM/DEXTER C-UAS architecture. Integrate STORM's AI EO/IR detect-track with DEXTER's adaptive beam routing and shaping; identify the hardware and software modifications required to transition to a deployable Navy C-UAS system.</w:t>
      </w:r>
    </w:p>
    <w:p>
      <w:pPr>
        <w:pStyle w:val="ListParagraph"/>
        <w:numPr>
          <w:ilvl w:val="0"/>
          <w:numId w:val="1"/>
        </w:numPr>
      </w:pPr>
      <w:r>
        <w:rPr>
          <w:rFonts w:ascii="Times New Roman" w:cs="Times New Roman" w:eastAsia="Times New Roman" w:hAnsi="Times New Roman"/>
          <w:sz w:val="22"/>
          <w:szCs w:val="22"/>
        </w:rPr>
        <w:t xml:space="preserve">Objective 3 — Quantify performance improvements. Model and measure improvements over existing non-kinetic C-UAS: tracking disruption, multi-target engagement, reduced SWaP, elimination of mechanical beam steering, and effectiveness against RF-jamming-resistant fiber-optic drones.</w:t>
      </w:r>
    </w:p>
    <w:p>
      <w:pPr>
        <w:pStyle w:val="ListParagraph"/>
        <w:numPr>
          <w:ilvl w:val="0"/>
          <w:numId w:val="1"/>
        </w:numPr>
      </w:pPr>
      <w:r>
        <w:rPr>
          <w:rFonts w:ascii="Times New Roman" w:cs="Times New Roman" w:eastAsia="Times New Roman" w:hAnsi="Times New Roman"/>
          <w:sz w:val="22"/>
          <w:szCs w:val="22"/>
        </w:rPr>
        <w:t xml:space="preserve">Objective 4 — Develop a Phase II transition plan. Define the roadmap for a prototype able to recognize, track, and non-kinetically defeat Group 2-and-below UAS, and identify NAVAIR/NAVSEA transition paths.</w:t>
      </w:r>
    </w:p>
    <w:p>
      <w:pPr>
        <w:pStyle w:val="Heading2"/>
        <w:keepNext/>
      </w:pPr>
      <w:r>
        <w:rPr>
          <w:rFonts w:ascii="Times New Roman" w:cs="Times New Roman" w:eastAsia="Times New Roman" w:hAnsi="Times New Roman"/>
          <w:b/>
          <w:bCs/>
          <w:sz w:val="22"/>
          <w:szCs w:val="22"/>
        </w:rPr>
        <w:t xml:space="preserve">Phase I Feasibility Metrics (Go / No-Go)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shd w:color="D9E1F2" w:val="solid"/>
          </w:tcPr>
          <w:p>
            <w:pPr>
              <w:jc w:val="center"/>
            </w:pPr>
            <w:r>
              <w:rPr>
                <w:rFonts w:ascii="Times New Roman" w:cs="Times New Roman" w:eastAsia="Times New Roman" w:hAnsi="Times New Roman"/>
                <w:b/>
                <w:bCs/>
                <w:sz w:val="22"/>
                <w:szCs w:val="22"/>
              </w:rPr>
              <w:t xml:space="preserve">Metric</w:t>
            </w:r>
          </w:p>
        </w:tc>
        <w:tc>
          <w:tcPr>
            <w:tcW w:type="pct" w:w="33.333333333333336%"/>
            <w:shd w:color="D9E1F2" w:val="solid"/>
          </w:tcPr>
          <w:p>
            <w:pPr>
              <w:jc w:val="center"/>
            </w:pPr>
            <w:r>
              <w:rPr>
                <w:rFonts w:ascii="Times New Roman" w:cs="Times New Roman" w:eastAsia="Times New Roman" w:hAnsi="Times New Roman"/>
                <w:b/>
                <w:bCs/>
                <w:sz w:val="22"/>
                <w:szCs w:val="22"/>
              </w:rPr>
              <w:t xml:space="preserve">Phase I Target</w:t>
            </w:r>
          </w:p>
        </w:tc>
        <w:tc>
          <w:tcPr>
            <w:tcW w:type="pct" w:w="33.333333333333336%"/>
            <w:shd w:color="D9E1F2" w:val="solid"/>
          </w:tcPr>
          <w:p>
            <w:pPr>
              <w:jc w:val="center"/>
            </w:pPr>
            <w:r>
              <w:rPr>
                <w:rFonts w:ascii="Times New Roman" w:cs="Times New Roman" w:eastAsia="Times New Roman" w:hAnsi="Times New Roman"/>
                <w:b/>
                <w:bCs/>
                <w:sz w:val="22"/>
                <w:szCs w:val="22"/>
              </w:rPr>
              <w:t xml:space="preserve">Go / No-Go Threshold</w:t>
            </w:r>
          </w:p>
        </w:tc>
      </w:tr>
      <w:tr>
        <w:trPr>
          <w:cantSplit/>
        </w:trPr>
        <w:tc>
          <w:p>
            <w:pPr>
              <w:jc w:val="left"/>
            </w:pPr>
            <w:r>
              <w:rPr>
                <w:rFonts w:ascii="Times New Roman" w:cs="Times New Roman" w:eastAsia="Times New Roman" w:hAnsi="Times New Roman"/>
                <w:b w:val="false"/>
                <w:bCs w:val="false"/>
                <w:sz w:val="22"/>
                <w:szCs w:val="22"/>
              </w:rPr>
              <w:t xml:space="preserve">EO-camera susceptibility (measurable degradation of terminal tracking)</w:t>
            </w:r>
          </w:p>
        </w:tc>
        <w:tc>
          <w:p>
            <w:pPr>
              <w:jc w:val="left"/>
            </w:pPr>
            <w:r>
              <w:rPr>
                <w:rFonts w:ascii="Times New Roman" w:cs="Times New Roman" w:eastAsia="Times New Roman" w:hAnsi="Times New Roman"/>
                <w:b w:val="false"/>
                <w:bCs w:val="false"/>
                <w:sz w:val="22"/>
                <w:szCs w:val="22"/>
              </w:rPr>
              <w:t xml:space="preserve">Demonstrated on ≥ 2 representative EO/FPV cameras</w:t>
            </w:r>
          </w:p>
        </w:tc>
        <w:tc>
          <w:p>
            <w:pPr>
              <w:jc w:val="left"/>
            </w:pPr>
            <w:r>
              <w:rPr>
                <w:rFonts w:ascii="Times New Roman" w:cs="Times New Roman" w:eastAsia="Times New Roman" w:hAnsi="Times New Roman"/>
                <w:b w:val="false"/>
                <w:bCs w:val="false"/>
                <w:sz w:val="22"/>
                <w:szCs w:val="22"/>
              </w:rPr>
              <w:t xml:space="preserve">≥ 1 camera</w:t>
            </w:r>
          </w:p>
        </w:tc>
      </w:tr>
      <w:tr>
        <w:trPr>
          <w:cantSplit/>
        </w:trPr>
        <w:tc>
          <w:p>
            <w:pPr>
              <w:jc w:val="left"/>
            </w:pPr>
            <w:r>
              <w:rPr>
                <w:rFonts w:ascii="Times New Roman" w:cs="Times New Roman" w:eastAsia="Times New Roman" w:hAnsi="Times New Roman"/>
                <w:b w:val="false"/>
                <w:bCs w:val="false"/>
                <w:sz w:val="22"/>
                <w:szCs w:val="22"/>
              </w:rPr>
              <w:t xml:space="preserve">Optical effect</w:t>
            </w:r>
          </w:p>
        </w:tc>
        <w:tc>
          <w:p>
            <w:pPr>
              <w:jc w:val="left"/>
            </w:pPr>
            <w:r>
              <w:rPr>
                <w:rFonts w:ascii="Times New Roman" w:cs="Times New Roman" w:eastAsia="Times New Roman" w:hAnsi="Times New Roman"/>
                <w:b w:val="false"/>
                <w:bCs w:val="false"/>
                <w:sz w:val="22"/>
                <w:szCs w:val="22"/>
              </w:rPr>
              <w:t xml:space="preserve">Repeatable saturation / blooming at bench range</w:t>
            </w:r>
          </w:p>
        </w:tc>
        <w:tc>
          <w:p>
            <w:pPr>
              <w:jc w:val="left"/>
            </w:pPr>
            <w:r>
              <w:rPr>
                <w:rFonts w:ascii="Times New Roman" w:cs="Times New Roman" w:eastAsia="Times New Roman" w:hAnsi="Times New Roman"/>
                <w:b w:val="false"/>
                <w:bCs w:val="false"/>
                <w:sz w:val="22"/>
                <w:szCs w:val="22"/>
              </w:rPr>
              <w:t xml:space="preserve">Qualitative confirmation</w:t>
            </w:r>
          </w:p>
        </w:tc>
      </w:tr>
      <w:tr>
        <w:trPr>
          <w:cantSplit/>
        </w:trPr>
        <w:tc>
          <w:p>
            <w:pPr>
              <w:jc w:val="left"/>
            </w:pPr>
            <w:r>
              <w:rPr>
                <w:rFonts w:ascii="Times New Roman" w:cs="Times New Roman" w:eastAsia="Times New Roman" w:hAnsi="Times New Roman"/>
                <w:b w:val="false"/>
                <w:bCs w:val="false"/>
                <w:sz w:val="22"/>
                <w:szCs w:val="22"/>
              </w:rPr>
              <w:t xml:space="preserve">DEXTER multi-beam routing</w:t>
            </w:r>
          </w:p>
        </w:tc>
        <w:tc>
          <w:p>
            <w:pPr>
              <w:jc w:val="left"/>
            </w:pPr>
            <w:r>
              <w:rPr>
                <w:rFonts w:ascii="Times New Roman" w:cs="Times New Roman" w:eastAsia="Times New Roman" w:hAnsi="Times New Roman"/>
                <w:b w:val="false"/>
                <w:bCs w:val="false"/>
                <w:sz w:val="22"/>
                <w:szCs w:val="22"/>
              </w:rPr>
              <w:t xml:space="preserve">≥ 3 simultaneously addressable output channels (model/bench)</w:t>
            </w:r>
          </w:p>
        </w:tc>
        <w:tc>
          <w:p>
            <w:pPr>
              <w:jc w:val="left"/>
            </w:pPr>
            <w:r>
              <w:rPr>
                <w:rFonts w:ascii="Times New Roman" w:cs="Times New Roman" w:eastAsia="Times New Roman" w:hAnsi="Times New Roman"/>
                <w:b w:val="false"/>
                <w:bCs w:val="false"/>
                <w:sz w:val="22"/>
                <w:szCs w:val="22"/>
              </w:rPr>
              <w:t xml:space="preserve">≥ 2 channels</w:t>
            </w:r>
          </w:p>
        </w:tc>
      </w:tr>
      <w:tr>
        <w:trPr>
          <w:cantSplit/>
        </w:trPr>
        <w:tc>
          <w:p>
            <w:pPr>
              <w:jc w:val="left"/>
            </w:pPr>
            <w:r>
              <w:rPr>
                <w:rFonts w:ascii="Times New Roman" w:cs="Times New Roman" w:eastAsia="Times New Roman" w:hAnsi="Times New Roman"/>
                <w:b w:val="false"/>
                <w:bCs w:val="false"/>
                <w:sz w:val="22"/>
                <w:szCs w:val="22"/>
              </w:rPr>
              <w:t xml:space="preserve">Predicted SWaP vs. mechanically steered baseline</w:t>
            </w:r>
          </w:p>
        </w:tc>
        <w:tc>
          <w:p>
            <w:pPr>
              <w:jc w:val="left"/>
            </w:pPr>
            <w:r>
              <w:rPr>
                <w:rFonts w:ascii="Times New Roman" w:cs="Times New Roman" w:eastAsia="Times New Roman" w:hAnsi="Times New Roman"/>
                <w:b w:val="false"/>
                <w:bCs w:val="false"/>
                <w:sz w:val="22"/>
                <w:szCs w:val="22"/>
              </w:rPr>
              <w:t xml:space="preserve">≥ 30% reduction (analysis)</w:t>
            </w:r>
          </w:p>
        </w:tc>
        <w:tc>
          <w:p>
            <w:pPr>
              <w:jc w:val="left"/>
            </w:pPr>
            <w:r>
              <w:rPr>
                <w:rFonts w:ascii="Times New Roman" w:cs="Times New Roman" w:eastAsia="Times New Roman" w:hAnsi="Times New Roman"/>
                <w:b w:val="false"/>
                <w:bCs w:val="false"/>
                <w:sz w:val="22"/>
                <w:szCs w:val="22"/>
              </w:rPr>
              <w:t xml:space="preserve">Net reduction</w:t>
            </w:r>
          </w:p>
        </w:tc>
      </w:tr>
      <w:tr>
        <w:trPr>
          <w:cantSplit/>
        </w:trPr>
        <w:tc>
          <w:p>
            <w:pPr>
              <w:jc w:val="left"/>
            </w:pPr>
            <w:r>
              <w:rPr>
                <w:rFonts w:ascii="Times New Roman" w:cs="Times New Roman" w:eastAsia="Times New Roman" w:hAnsi="Times New Roman"/>
                <w:b w:val="false"/>
                <w:bCs w:val="false"/>
                <w:sz w:val="22"/>
                <w:szCs w:val="22"/>
              </w:rPr>
              <w:t xml:space="preserve">Architecture</w:t>
            </w:r>
          </w:p>
        </w:tc>
        <w:tc>
          <w:p>
            <w:pPr>
              <w:jc w:val="left"/>
            </w:pPr>
            <w:r>
              <w:rPr>
                <w:rFonts w:ascii="Times New Roman" w:cs="Times New Roman" w:eastAsia="Times New Roman" w:hAnsi="Times New Roman"/>
                <w:b w:val="false"/>
                <w:bCs w:val="false"/>
                <w:sz w:val="22"/>
                <w:szCs w:val="22"/>
              </w:rPr>
              <w:t xml:space="preserve">STORM↔DEXTER interface + Navy C-UAS integration defined</w:t>
            </w:r>
          </w:p>
        </w:tc>
        <w:tc>
          <w:p>
            <w:pPr>
              <w:jc w:val="left"/>
            </w:pPr>
            <w:r>
              <w:rPr>
                <w:rFonts w:ascii="Times New Roman" w:cs="Times New Roman" w:eastAsia="Times New Roman" w:hAnsi="Times New Roman"/>
                <w:b w:val="false"/>
                <w:bCs w:val="false"/>
                <w:sz w:val="22"/>
                <w:szCs w:val="22"/>
              </w:rPr>
              <w:t xml:space="preserve">Interface defined</w:t>
            </w:r>
          </w:p>
        </w:tc>
      </w:tr>
    </w:tbl>
    <w:p>
      <w:pPr>
        <w:spacing w:after="0" w:before="0"/>
        <w:jc w:val="left"/>
      </w:pPr>
      <w:r>
        <w:rPr>
          <w:rFonts w:ascii="Times New Roman" w:cs="Times New Roman" w:eastAsia="Times New Roman" w:hAnsi="Times New Roman"/>
          <w:sz w:val="22"/>
          <w:szCs w:val="22"/>
        </w:rPr>
        <w:t xml:space="preserve">Phase I deliverables: Kick-Off Briefing; Progress Report; Final Technical Report documenting the STORM and DEXTER baseline, the Navy C-UAS capability gaps addressed, required modifications, the feasibility assessment, and expected performance improvements; and an Initial Phase II Proposal.</w:t>
      </w:r>
    </w:p>
    <w:p>
      <w:pPr>
        <w:pStyle w:val="Heading2"/>
        <w:keepNext/>
      </w:pPr>
      <w:r>
        <w:rPr>
          <w:rFonts w:ascii="Times New Roman" w:cs="Times New Roman" w:eastAsia="Times New Roman" w:hAnsi="Times New Roman"/>
          <w:b/>
          <w:bCs/>
          <w:sz w:val="22"/>
          <w:szCs w:val="22"/>
        </w:rPr>
        <w:t xml:space="preserve">Anticipated Phase I Outcomes</w:t>
      </w:r>
    </w:p>
    <w:p>
      <w:pPr>
        <w:spacing w:after="0" w:before="0"/>
        <w:jc w:val="left"/>
      </w:pPr>
      <w:r>
        <w:rPr>
          <w:rFonts w:ascii="Times New Roman" w:cs="Times New Roman" w:eastAsia="Times New Roman" w:hAnsi="Times New Roman"/>
          <w:sz w:val="22"/>
          <w:szCs w:val="22"/>
        </w:rPr>
        <w:t xml:space="preserve">At the conclusion of Phase I, the program will have delivered:</w:t>
      </w:r>
    </w:p>
    <w:p>
      <w:pPr>
        <w:pStyle w:val="ListParagraph"/>
        <w:numPr>
          <w:ilvl w:val="0"/>
          <w:numId w:val="1"/>
        </w:numPr>
      </w:pPr>
      <w:r>
        <w:rPr>
          <w:rFonts w:ascii="Times New Roman" w:cs="Times New Roman" w:eastAsia="Times New Roman" w:hAnsi="Times New Roman"/>
          <w:sz w:val="22"/>
          <w:szCs w:val="22"/>
        </w:rPr>
        <w:t xml:space="preserve">Demonstrated feasibility of applying the Navy seeker-confusion principle to EO-guided FPV fiber-optic drones, evidenced by measured optical degradation of representative EO cameras.</w:t>
      </w:r>
    </w:p>
    <w:p>
      <w:pPr>
        <w:pStyle w:val="ListParagraph"/>
        <w:numPr>
          <w:ilvl w:val="0"/>
          <w:numId w:val="1"/>
        </w:numPr>
      </w:pPr>
      <w:r>
        <w:rPr>
          <w:rFonts w:ascii="Times New Roman" w:cs="Times New Roman" w:eastAsia="Times New Roman" w:hAnsi="Times New Roman"/>
          <w:sz w:val="22"/>
          <w:szCs w:val="22"/>
        </w:rPr>
        <w:t xml:space="preserve">A defined preliminary STORM/DEXTER architecture for Navy C-UAS applications, with the STORM↔DEXTER interface and MOSA integration specified.</w:t>
      </w:r>
    </w:p>
    <w:p>
      <w:pPr>
        <w:pStyle w:val="ListParagraph"/>
        <w:numPr>
          <w:ilvl w:val="0"/>
          <w:numId w:val="1"/>
        </w:numPr>
      </w:pPr>
      <w:r>
        <w:rPr>
          <w:rFonts w:ascii="Times New Roman" w:cs="Times New Roman" w:eastAsia="Times New Roman" w:hAnsi="Times New Roman"/>
          <w:sz w:val="22"/>
          <w:szCs w:val="22"/>
        </w:rPr>
        <w:t xml:space="preserve">Identification of the hardware and software modifications required for a Phase II prototype.</w:t>
      </w:r>
    </w:p>
    <w:p>
      <w:pPr>
        <w:pStyle w:val="ListParagraph"/>
        <w:numPr>
          <w:ilvl w:val="0"/>
          <w:numId w:val="1"/>
        </w:numPr>
      </w:pPr>
      <w:r>
        <w:rPr>
          <w:rFonts w:ascii="Times New Roman" w:cs="Times New Roman" w:eastAsia="Times New Roman" w:hAnsi="Times New Roman"/>
          <w:sz w:val="22"/>
          <w:szCs w:val="22"/>
        </w:rPr>
        <w:t xml:space="preserve">Quantified improvements over existing non-kinetic C-UAS: multi-target engagement, reduced SWaP, elimination of mechanical beam steering, and effectiveness against RF-jamming-resistant fiber-optic drones.</w:t>
      </w:r>
    </w:p>
    <w:p>
      <w:pPr>
        <w:pStyle w:val="ListParagraph"/>
        <w:numPr>
          <w:ilvl w:val="0"/>
          <w:numId w:val="1"/>
        </w:numPr>
      </w:pPr>
      <w:r>
        <w:rPr>
          <w:rFonts w:ascii="Times New Roman" w:cs="Times New Roman" w:eastAsia="Times New Roman" w:hAnsi="Times New Roman"/>
          <w:sz w:val="22"/>
          <w:szCs w:val="22"/>
        </w:rPr>
        <w:t xml:space="preserve">An established technical baseline and transition plan for a Phase II prototype demonstration with NAVAIR/NAVSEA.</w:t>
      </w:r>
    </w:p>
    <w:p>
      <w:pPr>
        <w:pStyle w:val="Heading1"/>
        <w:keepNext/>
      </w:pPr>
      <w:r>
        <w:rPr>
          <w:rFonts w:ascii="Times New Roman" w:cs="Times New Roman" w:eastAsia="Times New Roman" w:hAnsi="Times New Roman"/>
          <w:b/>
          <w:bCs/>
          <w:sz w:val="22"/>
          <w:szCs w:val="22"/>
        </w:rPr>
        <w:t xml:space="preserve">1.2  Phase I (Base and Option) Statement of Work</w:t>
      </w:r>
    </w:p>
    <w:p>
      <w:pPr>
        <w:spacing w:after="0" w:before="0"/>
        <w:jc w:val="left"/>
      </w:pPr>
      <w:r>
        <w:rPr>
          <w:rFonts w:ascii="Times New Roman" w:cs="Times New Roman" w:eastAsia="Times New Roman" w:hAnsi="Times New Roman"/>
          <w:sz w:val="22"/>
          <w:szCs w:val="22"/>
        </w:rPr>
        <w:t xml:space="preserve">The Base effort (6 months) establishes feasibility and the system architecture. The Option (6 months), funded separately, furthers the effort toward Phase II with a breadboard optical-effects demonstration and a prototype/transition package. All work is performed at Immobileyes' Kent, OH facility; no foreign nationals perform on this ITAR-restricted effort.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
            <w:shd w:color="D9E1F2" w:val="solid"/>
          </w:tcPr>
          <w:p>
            <w:pPr>
              <w:jc w:val="center"/>
            </w:pPr>
            <w:r>
              <w:rPr>
                <w:rFonts w:ascii="Times New Roman" w:cs="Times New Roman" w:eastAsia="Times New Roman" w:hAnsi="Times New Roman"/>
                <w:b/>
                <w:bCs/>
                <w:sz w:val="22"/>
                <w:szCs w:val="22"/>
              </w:rPr>
              <w:t xml:space="preserve">Task</w:t>
            </w:r>
          </w:p>
        </w:tc>
        <w:tc>
          <w:tcPr>
            <w:tcW w:type="pct" w:w="25%"/>
            <w:shd w:color="D9E1F2" w:val="solid"/>
          </w:tcPr>
          <w:p>
            <w:pPr>
              <w:jc w:val="center"/>
            </w:pPr>
            <w:r>
              <w:rPr>
                <w:rFonts w:ascii="Times New Roman" w:cs="Times New Roman" w:eastAsia="Times New Roman" w:hAnsi="Times New Roman"/>
                <w:b/>
                <w:bCs/>
                <w:sz w:val="22"/>
                <w:szCs w:val="22"/>
              </w:rPr>
              <w:t xml:space="preserve">Title</w:t>
            </w:r>
          </w:p>
        </w:tc>
        <w:tc>
          <w:tcPr>
            <w:tcW w:type="pct" w:w="25%"/>
            <w:shd w:color="D9E1F2" w:val="solid"/>
          </w:tcPr>
          <w:p>
            <w:pPr>
              <w:jc w:val="center"/>
            </w:pPr>
            <w:r>
              <w:rPr>
                <w:rFonts w:ascii="Times New Roman" w:cs="Times New Roman" w:eastAsia="Times New Roman" w:hAnsi="Times New Roman"/>
                <w:b/>
                <w:bCs/>
                <w:sz w:val="22"/>
                <w:szCs w:val="22"/>
              </w:rPr>
              <w:t xml:space="preserve">Months</w:t>
            </w:r>
          </w:p>
        </w:tc>
        <w:tc>
          <w:tcPr>
            <w:tcW w:type="pct" w:w="25%"/>
            <w:shd w:color="D9E1F2" w:val="solid"/>
          </w:tcPr>
          <w:p>
            <w:pPr>
              <w:jc w:val="center"/>
            </w:pPr>
            <w:r>
              <w:rPr>
                <w:rFonts w:ascii="Times New Roman" w:cs="Times New Roman" w:eastAsia="Times New Roman" w:hAnsi="Times New Roman"/>
                <w:b/>
                <w:bCs/>
                <w:sz w:val="22"/>
                <w:szCs w:val="22"/>
              </w:rPr>
              <w:t xml:space="preserve">Primary Deliverable</w:t>
            </w:r>
          </w:p>
        </w:tc>
      </w:tr>
      <w:tr>
        <w:trPr>
          <w:cantSplit/>
        </w:trPr>
        <w:tc>
          <w:p>
            <w:pPr>
              <w:jc w:val="left"/>
            </w:pPr>
            <w:r>
              <w:rPr>
                <w:rFonts w:ascii="Times New Roman" w:cs="Times New Roman" w:eastAsia="Times New Roman" w:hAnsi="Times New Roman"/>
                <w:b w:val="false"/>
                <w:bCs w:val="false"/>
                <w:sz w:val="22"/>
                <w:szCs w:val="22"/>
              </w:rPr>
              <w:t xml:space="preserve">1 (Base)</w:t>
            </w:r>
          </w:p>
        </w:tc>
        <w:tc>
          <w:p>
            <w:pPr>
              <w:jc w:val="left"/>
            </w:pPr>
            <w:r>
              <w:rPr>
                <w:rFonts w:ascii="Times New Roman" w:cs="Times New Roman" w:eastAsia="Times New Roman" w:hAnsi="Times New Roman"/>
                <w:b w:val="false"/>
                <w:bCs w:val="false"/>
                <w:sz w:val="22"/>
                <w:szCs w:val="22"/>
              </w:rPr>
              <w:t xml:space="preserve">System Definition &amp; Feasibility Assessment — assess the STORM/DEXTER architecture; review Group 1–2 UAS threats, EO cameras, and current Navy C-UAS to define requirements and gaps.</w:t>
            </w:r>
          </w:p>
        </w:tc>
        <w:tc>
          <w:p>
            <w:pPr>
              <w:jc w:val="left"/>
            </w:pPr>
            <w:r>
              <w:rPr>
                <w:rFonts w:ascii="Times New Roman" w:cs="Times New Roman" w:eastAsia="Times New Roman" w:hAnsi="Times New Roman"/>
                <w:b w:val="false"/>
                <w:bCs w:val="false"/>
                <w:sz w:val="22"/>
                <w:szCs w:val="22"/>
              </w:rPr>
              <w:t xml:space="preserve">1</w:t>
            </w:r>
          </w:p>
        </w:tc>
        <w:tc>
          <w:p>
            <w:pPr>
              <w:jc w:val="left"/>
            </w:pPr>
            <w:r>
              <w:rPr>
                <w:rFonts w:ascii="Times New Roman" w:cs="Times New Roman" w:eastAsia="Times New Roman" w:hAnsi="Times New Roman"/>
                <w:b w:val="false"/>
                <w:bCs w:val="false"/>
                <w:sz w:val="22"/>
                <w:szCs w:val="22"/>
              </w:rPr>
              <w:t xml:space="preserve">Kick-Off Briefing</w:t>
            </w:r>
          </w:p>
        </w:tc>
      </w:tr>
      <w:tr>
        <w:trPr>
          <w:cantSplit/>
        </w:trPr>
        <w:tc>
          <w:p>
            <w:pPr>
              <w:jc w:val="left"/>
            </w:pPr>
            <w:r>
              <w:rPr>
                <w:rFonts w:ascii="Times New Roman" w:cs="Times New Roman" w:eastAsia="Times New Roman" w:hAnsi="Times New Roman"/>
                <w:b w:val="false"/>
                <w:bCs w:val="false"/>
                <w:sz w:val="22"/>
                <w:szCs w:val="22"/>
              </w:rPr>
              <w:t xml:space="preserve">2 (Base)</w:t>
            </w:r>
          </w:p>
        </w:tc>
        <w:tc>
          <w:p>
            <w:pPr>
              <w:jc w:val="left"/>
            </w:pPr>
            <w:r>
              <w:rPr>
                <w:rFonts w:ascii="Times New Roman" w:cs="Times New Roman" w:eastAsia="Times New Roman" w:hAnsi="Times New Roman"/>
                <w:b w:val="false"/>
                <w:bCs w:val="false"/>
                <w:sz w:val="22"/>
                <w:szCs w:val="22"/>
              </w:rPr>
              <w:t xml:space="preserve">System Architecture &amp; Design — preliminary architecture integrating STORM detect-track with DEXTER beam routing; STORM/DEXTER interface; optical-engagement concept; control architecture.</w:t>
            </w:r>
          </w:p>
        </w:tc>
        <w:tc>
          <w:p>
            <w:pPr>
              <w:jc w:val="left"/>
            </w:pPr>
            <w:r>
              <w:rPr>
                <w:rFonts w:ascii="Times New Roman" w:cs="Times New Roman" w:eastAsia="Times New Roman" w:hAnsi="Times New Roman"/>
                <w:b w:val="false"/>
                <w:bCs w:val="false"/>
                <w:sz w:val="22"/>
                <w:szCs w:val="22"/>
              </w:rPr>
              <w:t xml:space="preserve">1–3</w:t>
            </w:r>
          </w:p>
        </w:tc>
        <w:tc>
          <w:p>
            <w:pPr>
              <w:jc w:val="left"/>
            </w:pPr>
            <w:r>
              <w:rPr>
                <w:rFonts w:ascii="Times New Roman" w:cs="Times New Roman" w:eastAsia="Times New Roman" w:hAnsi="Times New Roman"/>
                <w:b w:val="false"/>
                <w:bCs w:val="false"/>
                <w:sz w:val="22"/>
                <w:szCs w:val="22"/>
              </w:rPr>
              <w:t xml:space="preserve">Progress Report</w:t>
            </w:r>
          </w:p>
        </w:tc>
      </w:tr>
      <w:tr>
        <w:trPr>
          <w:cantSplit/>
        </w:trPr>
        <w:tc>
          <w:p>
            <w:pPr>
              <w:jc w:val="left"/>
            </w:pPr>
            <w:r>
              <w:rPr>
                <w:rFonts w:ascii="Times New Roman" w:cs="Times New Roman" w:eastAsia="Times New Roman" w:hAnsi="Times New Roman"/>
                <w:b w:val="false"/>
                <w:bCs w:val="false"/>
                <w:sz w:val="22"/>
                <w:szCs w:val="22"/>
              </w:rPr>
              <w:t xml:space="preserve">3 (Base)</w:t>
            </w:r>
          </w:p>
        </w:tc>
        <w:tc>
          <w:p>
            <w:pPr>
              <w:jc w:val="left"/>
            </w:pPr>
            <w:r>
              <w:rPr>
                <w:rFonts w:ascii="Times New Roman" w:cs="Times New Roman" w:eastAsia="Times New Roman" w:hAnsi="Times New Roman"/>
                <w:b w:val="false"/>
                <w:bCs w:val="false"/>
                <w:sz w:val="22"/>
                <w:szCs w:val="22"/>
              </w:rPr>
              <w:t xml:space="preserve">Optical Countermeasure Feasibility Evaluation — laboratory test and modeling of saturation, blooming, false-feature generation, and contrast degradation against representative EO cameras; compare vs. existing non-kinetic C-UAS.</w:t>
            </w:r>
          </w:p>
        </w:tc>
        <w:tc>
          <w:p>
            <w:pPr>
              <w:jc w:val="left"/>
            </w:pPr>
            <w:r>
              <w:rPr>
                <w:rFonts w:ascii="Times New Roman" w:cs="Times New Roman" w:eastAsia="Times New Roman" w:hAnsi="Times New Roman"/>
                <w:b w:val="false"/>
                <w:bCs w:val="false"/>
                <w:sz w:val="22"/>
                <w:szCs w:val="22"/>
              </w:rPr>
              <w:t xml:space="preserve">2–5</w:t>
            </w:r>
          </w:p>
        </w:tc>
        <w:tc>
          <w:p>
            <w:pPr>
              <w:jc w:val="left"/>
            </w:pPr>
            <w:r>
              <w:rPr>
                <w:rFonts w:ascii="Times New Roman" w:cs="Times New Roman" w:eastAsia="Times New Roman" w:hAnsi="Times New Roman"/>
                <w:b w:val="false"/>
                <w:bCs w:val="false"/>
                <w:sz w:val="22"/>
                <w:szCs w:val="22"/>
              </w:rPr>
              <w:t xml:space="preserve">Test data &amp; analysis</w:t>
            </w:r>
          </w:p>
        </w:tc>
      </w:tr>
      <w:tr>
        <w:trPr>
          <w:cantSplit/>
        </w:trPr>
        <w:tc>
          <w:p>
            <w:pPr>
              <w:jc w:val="left"/>
            </w:pPr>
            <w:r>
              <w:rPr>
                <w:rFonts w:ascii="Times New Roman" w:cs="Times New Roman" w:eastAsia="Times New Roman" w:hAnsi="Times New Roman"/>
                <w:b w:val="false"/>
                <w:bCs w:val="false"/>
                <w:sz w:val="22"/>
                <w:szCs w:val="22"/>
              </w:rPr>
              <w:t xml:space="preserve">4 (Base)</w:t>
            </w:r>
          </w:p>
        </w:tc>
        <w:tc>
          <w:p>
            <w:pPr>
              <w:jc w:val="left"/>
            </w:pPr>
            <w:r>
              <w:rPr>
                <w:rFonts w:ascii="Times New Roman" w:cs="Times New Roman" w:eastAsia="Times New Roman" w:hAnsi="Times New Roman"/>
                <w:b w:val="false"/>
                <w:bCs w:val="false"/>
                <w:sz w:val="22"/>
                <w:szCs w:val="22"/>
              </w:rPr>
              <w:t xml:space="preserve">Transition Assessment &amp; Phase I Reporting — consolidate results; document performance improvements and residual risk.</w:t>
            </w:r>
          </w:p>
        </w:tc>
        <w:tc>
          <w:p>
            <w:pPr>
              <w:jc w:val="left"/>
            </w:pPr>
            <w:r>
              <w:rPr>
                <w:rFonts w:ascii="Times New Roman" w:cs="Times New Roman" w:eastAsia="Times New Roman" w:hAnsi="Times New Roman"/>
                <w:b w:val="false"/>
                <w:bCs w:val="false"/>
                <w:sz w:val="22"/>
                <w:szCs w:val="22"/>
              </w:rPr>
              <w:t xml:space="preserve">5–6</w:t>
            </w:r>
          </w:p>
        </w:tc>
        <w:tc>
          <w:p>
            <w:pPr>
              <w:jc w:val="left"/>
            </w:pPr>
            <w:r>
              <w:rPr>
                <w:rFonts w:ascii="Times New Roman" w:cs="Times New Roman" w:eastAsia="Times New Roman" w:hAnsi="Times New Roman"/>
                <w:b w:val="false"/>
                <w:bCs w:val="false"/>
                <w:sz w:val="22"/>
                <w:szCs w:val="22"/>
              </w:rPr>
              <w:t xml:space="preserve">Final Technical Report; Initial Phase II Proposal</w:t>
            </w:r>
          </w:p>
        </w:tc>
      </w:tr>
      <w:tr>
        <w:trPr>
          <w:cantSplit/>
        </w:trPr>
        <w:tc>
          <w:p>
            <w:pPr>
              <w:jc w:val="left"/>
            </w:pPr>
            <w:r>
              <w:rPr>
                <w:rFonts w:ascii="Times New Roman" w:cs="Times New Roman" w:eastAsia="Times New Roman" w:hAnsi="Times New Roman"/>
                <w:b w:val="false"/>
                <w:bCs w:val="false"/>
                <w:sz w:val="22"/>
                <w:szCs w:val="22"/>
              </w:rPr>
              <w:t xml:space="preserve">5 (Option)</w:t>
            </w:r>
          </w:p>
        </w:tc>
        <w:tc>
          <w:p>
            <w:pPr>
              <w:jc w:val="left"/>
            </w:pPr>
            <w:r>
              <w:rPr>
                <w:rFonts w:ascii="Times New Roman" w:cs="Times New Roman" w:eastAsia="Times New Roman" w:hAnsi="Times New Roman"/>
                <w:b w:val="false"/>
                <w:bCs w:val="false"/>
                <w:sz w:val="22"/>
                <w:szCs w:val="22"/>
              </w:rPr>
              <w:t xml:space="preserve">Breadboard Optical-Effects Demonstration — STORM cue → DEXTER multi-beam routing → measured dazzle/disruption on a representative EO/FPV camera at range; quantify multi-beam swarm geometry.</w:t>
            </w:r>
          </w:p>
        </w:tc>
        <w:tc>
          <w:p>
            <w:pPr>
              <w:jc w:val="left"/>
            </w:pPr>
            <w:r>
              <w:rPr>
                <w:rFonts w:ascii="Times New Roman" w:cs="Times New Roman" w:eastAsia="Times New Roman" w:hAnsi="Times New Roman"/>
                <w:b w:val="false"/>
                <w:bCs w:val="false"/>
                <w:sz w:val="22"/>
                <w:szCs w:val="22"/>
              </w:rPr>
              <w:t xml:space="preserve">7–10</w:t>
            </w:r>
          </w:p>
        </w:tc>
        <w:tc>
          <w:p>
            <w:pPr>
              <w:jc w:val="left"/>
            </w:pPr>
            <w:r>
              <w:rPr>
                <w:rFonts w:ascii="Times New Roman" w:cs="Times New Roman" w:eastAsia="Times New Roman" w:hAnsi="Times New Roman"/>
                <w:b w:val="false"/>
                <w:bCs w:val="false"/>
                <w:sz w:val="22"/>
                <w:szCs w:val="22"/>
              </w:rPr>
              <w:t xml:space="preserve">Breadboard demo &amp; data</w:t>
            </w:r>
          </w:p>
        </w:tc>
      </w:tr>
      <w:tr>
        <w:trPr>
          <w:cantSplit/>
        </w:trPr>
        <w:tc>
          <w:p>
            <w:pPr>
              <w:jc w:val="left"/>
            </w:pPr>
            <w:r>
              <w:rPr>
                <w:rFonts w:ascii="Times New Roman" w:cs="Times New Roman" w:eastAsia="Times New Roman" w:hAnsi="Times New Roman"/>
                <w:b w:val="false"/>
                <w:bCs w:val="false"/>
                <w:sz w:val="22"/>
                <w:szCs w:val="22"/>
              </w:rPr>
              <w:t xml:space="preserve">6 (Option)</w:t>
            </w:r>
          </w:p>
        </w:tc>
        <w:tc>
          <w:p>
            <w:pPr>
              <w:jc w:val="left"/>
            </w:pPr>
            <w:r>
              <w:rPr>
                <w:rFonts w:ascii="Times New Roman" w:cs="Times New Roman" w:eastAsia="Times New Roman" w:hAnsi="Times New Roman"/>
                <w:b w:val="false"/>
                <w:bCs w:val="false"/>
                <w:sz w:val="22"/>
                <w:szCs w:val="22"/>
              </w:rPr>
              <w:t xml:space="preserve">Phase II Prototype Definition &amp; NAVAIR/NAVSEA Transition Package — prototype design baseline, test plan, and integration/transition plan for a Navy C-UAS demonstration.</w:t>
            </w:r>
          </w:p>
        </w:tc>
        <w:tc>
          <w:p>
            <w:pPr>
              <w:jc w:val="left"/>
            </w:pPr>
            <w:r>
              <w:rPr>
                <w:rFonts w:ascii="Times New Roman" w:cs="Times New Roman" w:eastAsia="Times New Roman" w:hAnsi="Times New Roman"/>
                <w:b w:val="false"/>
                <w:bCs w:val="false"/>
                <w:sz w:val="22"/>
                <w:szCs w:val="22"/>
              </w:rPr>
              <w:t xml:space="preserve">10–12</w:t>
            </w:r>
          </w:p>
        </w:tc>
        <w:tc>
          <w:p>
            <w:pPr>
              <w:jc w:val="left"/>
            </w:pPr>
            <w:r>
              <w:rPr>
                <w:rFonts w:ascii="Times New Roman" w:cs="Times New Roman" w:eastAsia="Times New Roman" w:hAnsi="Times New Roman"/>
                <w:b w:val="false"/>
                <w:bCs w:val="false"/>
                <w:sz w:val="22"/>
                <w:szCs w:val="22"/>
              </w:rPr>
              <w:t xml:space="preserve">Prototype plan &amp; transition package</w:t>
            </w:r>
          </w:p>
        </w:tc>
      </w:tr>
    </w:tbl>
    <w:p>
      <w:pPr>
        <w:pStyle w:val="Heading2"/>
        <w:keepNext/>
      </w:pPr>
      <w:r>
        <w:rPr>
          <w:rFonts w:ascii="Times New Roman" w:cs="Times New Roman" w:eastAsia="Times New Roman" w:hAnsi="Times New Roman"/>
          <w:b/>
          <w:bCs/>
          <w:sz w:val="22"/>
          <w:szCs w:val="22"/>
        </w:rPr>
        <w:t xml:space="preserve">Base Period — Task Approach</w:t>
      </w:r>
    </w:p>
    <w:p>
      <w:pPr>
        <w:spacing w:after="0" w:before="0"/>
        <w:jc w:val="left"/>
      </w:pPr>
      <w:r>
        <w:rPr>
          <w:rFonts w:ascii="Times New Roman" w:cs="Times New Roman" w:eastAsia="Times New Roman" w:hAnsi="Times New Roman"/>
          <w:sz w:val="22"/>
          <w:szCs w:val="22"/>
        </w:rPr>
        <w:t xml:space="preserve">Task 1 (Month 1) establishes the Group 1–2 EO-guided threat set, catalogs representative FPV/EO camera technologies and current Navy C-UAS capability gaps, and converts them into system requirements and evaluation criteria at the Kick-Off Briefing.</w:t>
      </w:r>
    </w:p>
    <w:p>
      <w:pPr>
        <w:spacing w:after="0" w:before="0"/>
        <w:jc w:val="left"/>
      </w:pPr>
      <w:r>
        <w:rPr>
          <w:rFonts w:ascii="Times New Roman" w:cs="Times New Roman" w:eastAsia="Times New Roman" w:hAnsi="Times New Roman"/>
          <w:sz w:val="22"/>
          <w:szCs w:val="22"/>
        </w:rPr>
        <w:t xml:space="preserve">Task 2 (Months 1–3) develops the preliminary GHOST architecture: the STORM↔DEXTER interface, the optical-engagement concept, the preliminary software and control architecture, and the integration requirements for Navy C-UAS platforms over MOSA.</w:t>
      </w:r>
    </w:p>
    <w:p>
      <w:pPr>
        <w:spacing w:after="0" w:before="0"/>
        <w:jc w:val="left"/>
      </w:pPr>
      <w:r>
        <w:rPr>
          <w:rFonts w:ascii="Times New Roman" w:cs="Times New Roman" w:eastAsia="Times New Roman" w:hAnsi="Times New Roman"/>
          <w:sz w:val="22"/>
          <w:szCs w:val="22"/>
        </w:rPr>
        <w:t xml:space="preserve">Task 3 (Months 2–5) is the analytical and laboratory core: bench characterization and modeling of saturation, blooming, false-feature generation, and contrast degradation against representative EO cameras, with performance compared against existing non-kinetic C-UAS on tracking disruption, multi-target potential, and SWaP.</w:t>
      </w:r>
    </w:p>
    <w:p>
      <w:pPr>
        <w:spacing w:after="0" w:before="0"/>
        <w:jc w:val="left"/>
      </w:pPr>
      <w:r>
        <w:rPr>
          <w:rFonts w:ascii="Times New Roman" w:cs="Times New Roman" w:eastAsia="Times New Roman" w:hAnsi="Times New Roman"/>
          <w:sz w:val="22"/>
          <w:szCs w:val="22"/>
        </w:rPr>
        <w:t xml:space="preserve">Task 4 (Months 5–6) consolidates the results into the Final Technical Report, quantifies expected performance improvements and residual risk, and produces the Initial Phase II Proposal.</w:t>
      </w:r>
    </w:p>
    <w:p>
      <w:pPr>
        <w:pStyle w:val="Heading2"/>
        <w:keepNext/>
      </w:pPr>
      <w:r>
        <w:rPr>
          <w:rFonts w:ascii="Times New Roman" w:cs="Times New Roman" w:eastAsia="Times New Roman" w:hAnsi="Times New Roman"/>
          <w:b/>
          <w:bCs/>
          <w:sz w:val="22"/>
          <w:szCs w:val="22"/>
        </w:rPr>
        <w:t xml:space="preserve">Option Period — Task Approach</w:t>
      </w:r>
    </w:p>
    <w:p>
      <w:pPr>
        <w:spacing w:after="0" w:before="0"/>
        <w:jc w:val="left"/>
      </w:pPr>
      <w:r>
        <w:rPr>
          <w:rFonts w:ascii="Times New Roman" w:cs="Times New Roman" w:eastAsia="Times New Roman" w:hAnsi="Times New Roman"/>
          <w:sz w:val="22"/>
          <w:szCs w:val="22"/>
        </w:rPr>
        <w:t xml:space="preserve">Task 5 (Months 7–10) builds a bench breadboard that closes the loop STORM cue → DEXTER multi-beam routing → measured optical effect on a representative EO/FPV camera at range, and quantifies the multi-beam swarm-engagement geometry.</w:t>
      </w:r>
    </w:p>
    <w:p>
      <w:pPr>
        <w:spacing w:after="0" w:before="0"/>
        <w:jc w:val="left"/>
      </w:pPr>
      <w:r>
        <w:rPr>
          <w:rFonts w:ascii="Times New Roman" w:cs="Times New Roman" w:eastAsia="Times New Roman" w:hAnsi="Times New Roman"/>
          <w:sz w:val="22"/>
          <w:szCs w:val="22"/>
        </w:rPr>
        <w:t xml:space="preserve">Task 6 (Months 10–12) defines the Phase II prototype baseline, test plan, and NAVAIR/NAVSEA integration and transition package for a Navy C-UAS demonstration.</w:t>
      </w:r>
    </w:p>
    <w:p>
      <w:pPr>
        <w:pStyle w:val="Heading2"/>
        <w:keepNext/>
      </w:pPr>
      <w:r>
        <w:rPr>
          <w:rFonts w:ascii="Times New Roman" w:cs="Times New Roman" w:eastAsia="Times New Roman" w:hAnsi="Times New Roman"/>
          <w:b/>
          <w:bCs/>
          <w:sz w:val="22"/>
          <w:szCs w:val="22"/>
        </w:rPr>
        <w:t xml:space="preserve">Key Technical Risks and Mitigations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shd w:color="D9E1F2" w:val="solid"/>
          </w:tcPr>
          <w:p>
            <w:pPr>
              <w:jc w:val="center"/>
            </w:pPr>
            <w:r>
              <w:rPr>
                <w:rFonts w:ascii="Times New Roman" w:cs="Times New Roman" w:eastAsia="Times New Roman" w:hAnsi="Times New Roman"/>
                <w:b/>
                <w:bCs/>
                <w:sz w:val="22"/>
                <w:szCs w:val="22"/>
              </w:rPr>
              <w:t xml:space="preserve">Technical Risk</w:t>
            </w:r>
          </w:p>
        </w:tc>
        <w:tc>
          <w:tcPr>
            <w:tcW w:type="pct" w:w="50%"/>
            <w:shd w:color="D9E1F2" w:val="solid"/>
          </w:tcPr>
          <w:p>
            <w:pPr>
              <w:jc w:val="center"/>
            </w:pPr>
            <w:r>
              <w:rPr>
                <w:rFonts w:ascii="Times New Roman" w:cs="Times New Roman" w:eastAsia="Times New Roman" w:hAnsi="Times New Roman"/>
                <w:b/>
                <w:bCs/>
                <w:sz w:val="22"/>
                <w:szCs w:val="22"/>
              </w:rPr>
              <w:t xml:space="preserve">Mitigation</w:t>
            </w:r>
          </w:p>
        </w:tc>
      </w:tr>
      <w:tr>
        <w:trPr>
          <w:cantSplit/>
        </w:trPr>
        <w:tc>
          <w:p>
            <w:pPr>
              <w:jc w:val="left"/>
            </w:pPr>
            <w:r>
              <w:rPr>
                <w:rFonts w:ascii="Times New Roman" w:cs="Times New Roman" w:eastAsia="Times New Roman" w:hAnsi="Times New Roman"/>
                <w:b w:val="false"/>
                <w:bCs w:val="false"/>
                <w:sz w:val="22"/>
                <w:szCs w:val="22"/>
              </w:rPr>
              <w:t xml:space="preserve">EO-camera diversity limits generalization of the optical effect</w:t>
            </w:r>
          </w:p>
        </w:tc>
        <w:tc>
          <w:p>
            <w:pPr>
              <w:jc w:val="left"/>
            </w:pPr>
            <w:r>
              <w:rPr>
                <w:rFonts w:ascii="Times New Roman" w:cs="Times New Roman" w:eastAsia="Times New Roman" w:hAnsi="Times New Roman"/>
                <w:b w:val="false"/>
                <w:bCs w:val="false"/>
                <w:sz w:val="22"/>
                <w:szCs w:val="22"/>
              </w:rPr>
              <w:t xml:space="preserve">Test a representative camera set; parameterize wavelength, dwell, and beam geometry via DEXTER software control</w:t>
            </w:r>
          </w:p>
        </w:tc>
      </w:tr>
      <w:tr>
        <w:trPr>
          <w:cantSplit/>
        </w:trPr>
        <w:tc>
          <w:p>
            <w:pPr>
              <w:jc w:val="left"/>
            </w:pPr>
            <w:r>
              <w:rPr>
                <w:rFonts w:ascii="Times New Roman" w:cs="Times New Roman" w:eastAsia="Times New Roman" w:hAnsi="Times New Roman"/>
                <w:b w:val="false"/>
                <w:bCs w:val="false"/>
                <w:sz w:val="22"/>
                <w:szCs w:val="22"/>
              </w:rPr>
              <w:t xml:space="preserve">Atmospheric and seeker variability at operational range</w:t>
            </w:r>
          </w:p>
        </w:tc>
        <w:tc>
          <w:p>
            <w:pPr>
              <w:jc w:val="left"/>
            </w:pPr>
            <w:r>
              <w:rPr>
                <w:rFonts w:ascii="Times New Roman" w:cs="Times New Roman" w:eastAsia="Times New Roman" w:hAnsi="Times New Roman"/>
                <w:b w:val="false"/>
                <w:bCs w:val="false"/>
                <w:sz w:val="22"/>
                <w:szCs w:val="22"/>
              </w:rPr>
              <w:t xml:space="preserve">Bench testing plus modeled range analysis; conservative Phase I feasibility claims, with the range demonstration deferred to the Option</w:t>
            </w:r>
          </w:p>
        </w:tc>
      </w:tr>
      <w:tr>
        <w:trPr>
          <w:cantSplit/>
        </w:trPr>
        <w:tc>
          <w:p>
            <w:pPr>
              <w:jc w:val="left"/>
            </w:pPr>
            <w:r>
              <w:rPr>
                <w:rFonts w:ascii="Times New Roman" w:cs="Times New Roman" w:eastAsia="Times New Roman" w:hAnsi="Times New Roman"/>
                <w:b w:val="false"/>
                <w:bCs w:val="false"/>
                <w:sz w:val="22"/>
                <w:szCs w:val="22"/>
              </w:rPr>
              <w:t xml:space="preserve">Eye-safety and FAA constraints on CONUS employment</w:t>
            </w:r>
          </w:p>
        </w:tc>
        <w:tc>
          <w:p>
            <w:pPr>
              <w:jc w:val="left"/>
            </w:pPr>
            <w:r>
              <w:rPr>
                <w:rFonts w:ascii="Times New Roman" w:cs="Times New Roman" w:eastAsia="Times New Roman" w:hAnsi="Times New Roman"/>
                <w:b w:val="false"/>
                <w:bCs w:val="false"/>
                <w:sz w:val="22"/>
                <w:szCs w:val="22"/>
              </w:rPr>
              <w:t xml:space="preserve">FAA-aware graduated escalation (warn/deter first); OSHA laser-safety controls; non-kinetic-first doctrine</w:t>
            </w:r>
          </w:p>
        </w:tc>
      </w:tr>
      <w:tr>
        <w:trPr>
          <w:cantSplit/>
        </w:trPr>
        <w:tc>
          <w:p>
            <w:pPr>
              <w:jc w:val="left"/>
            </w:pPr>
            <w:r>
              <w:rPr>
                <w:rFonts w:ascii="Times New Roman" w:cs="Times New Roman" w:eastAsia="Times New Roman" w:hAnsi="Times New Roman"/>
                <w:b w:val="false"/>
                <w:bCs w:val="false"/>
                <w:sz w:val="22"/>
                <w:szCs w:val="22"/>
              </w:rPr>
              <w:t xml:space="preserve">Integration risk with Navy sensors and C2</w:t>
            </w:r>
          </w:p>
        </w:tc>
        <w:tc>
          <w:p>
            <w:pPr>
              <w:jc w:val="left"/>
            </w:pPr>
            <w:r>
              <w:rPr>
                <w:rFonts w:ascii="Times New Roman" w:cs="Times New Roman" w:eastAsia="Times New Roman" w:hAnsi="Times New Roman"/>
                <w:b w:val="false"/>
                <w:bCs w:val="false"/>
                <w:sz w:val="22"/>
                <w:szCs w:val="22"/>
              </w:rPr>
              <w:t xml:space="preserve">MOSA / detection-agnostic interfaces; reuse of fielded STORM sensor integrations</w:t>
            </w:r>
          </w:p>
        </w:tc>
      </w:tr>
    </w:tbl>
    <w:p>
      <w:pPr>
        <w:pStyle w:val="Heading2"/>
        <w:keepNext/>
      </w:pPr>
      <w:r>
        <w:rPr>
          <w:rFonts w:ascii="Times New Roman" w:cs="Times New Roman" w:eastAsia="Times New Roman" w:hAnsi="Times New Roman"/>
          <w:b/>
          <w:bCs/>
          <w:sz w:val="22"/>
          <w:szCs w:val="22"/>
        </w:rPr>
        <w:t xml:space="preserve">Phase I Schedule &amp; Milestones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shd w:color="D9E1F2" w:val="solid"/>
          </w:tcPr>
          <w:p>
            <w:pPr>
              <w:jc w:val="center"/>
            </w:pPr>
            <w:r>
              <w:rPr>
                <w:rFonts w:ascii="Times New Roman" w:cs="Times New Roman" w:eastAsia="Times New Roman" w:hAnsi="Times New Roman"/>
                <w:b/>
                <w:bCs/>
                <w:sz w:val="22"/>
                <w:szCs w:val="22"/>
              </w:rPr>
              <w:t xml:space="preserve">Milestone / Deliverable</w:t>
            </w:r>
          </w:p>
        </w:tc>
        <w:tc>
          <w:tcPr>
            <w:tcW w:type="pct" w:w="33.333333333333336%"/>
            <w:shd w:color="D9E1F2" w:val="solid"/>
          </w:tcPr>
          <w:p>
            <w:pPr>
              <w:jc w:val="center"/>
            </w:pPr>
            <w:r>
              <w:rPr>
                <w:rFonts w:ascii="Times New Roman" w:cs="Times New Roman" w:eastAsia="Times New Roman" w:hAnsi="Times New Roman"/>
                <w:b/>
                <w:bCs/>
                <w:sz w:val="22"/>
                <w:szCs w:val="22"/>
              </w:rPr>
              <w:t xml:space="preserve">Month</w:t>
            </w:r>
          </w:p>
        </w:tc>
        <w:tc>
          <w:tcPr>
            <w:tcW w:type="pct" w:w="33.333333333333336%"/>
            <w:shd w:color="D9E1F2" w:val="solid"/>
          </w:tcPr>
          <w:p>
            <w:pPr>
              <w:jc w:val="center"/>
            </w:pPr>
            <w:r>
              <w:rPr>
                <w:rFonts w:ascii="Times New Roman" w:cs="Times New Roman" w:eastAsia="Times New Roman" w:hAnsi="Times New Roman"/>
                <w:b/>
                <w:bCs/>
                <w:sz w:val="22"/>
                <w:szCs w:val="22"/>
              </w:rPr>
              <w:t xml:space="preserve">Task</w:t>
            </w:r>
          </w:p>
        </w:tc>
      </w:tr>
      <w:tr>
        <w:trPr>
          <w:cantSplit/>
        </w:trPr>
        <w:tc>
          <w:p>
            <w:pPr>
              <w:jc w:val="left"/>
            </w:pPr>
            <w:r>
              <w:rPr>
                <w:rFonts w:ascii="Times New Roman" w:cs="Times New Roman" w:eastAsia="Times New Roman" w:hAnsi="Times New Roman"/>
                <w:b w:val="false"/>
                <w:bCs w:val="false"/>
                <w:sz w:val="22"/>
                <w:szCs w:val="22"/>
              </w:rPr>
              <w:t xml:space="preserve">Kick-Off Briefing</w:t>
            </w:r>
          </w:p>
        </w:tc>
        <w:tc>
          <w:p>
            <w:pPr>
              <w:jc w:val="left"/>
            </w:pPr>
            <w:r>
              <w:rPr>
                <w:rFonts w:ascii="Times New Roman" w:cs="Times New Roman" w:eastAsia="Times New Roman" w:hAnsi="Times New Roman"/>
                <w:b w:val="false"/>
                <w:bCs w:val="false"/>
                <w:sz w:val="22"/>
                <w:szCs w:val="22"/>
              </w:rPr>
              <w:t xml:space="preserve">M1</w:t>
            </w:r>
          </w:p>
        </w:tc>
        <w:tc>
          <w:p>
            <w:pPr>
              <w:jc w:val="left"/>
            </w:pPr>
            <w:r>
              <w:rPr>
                <w:rFonts w:ascii="Times New Roman" w:cs="Times New Roman" w:eastAsia="Times New Roman" w:hAnsi="Times New Roman"/>
                <w:b w:val="false"/>
                <w:bCs w:val="false"/>
                <w:sz w:val="22"/>
                <w:szCs w:val="22"/>
              </w:rPr>
              <w:t xml:space="preserve">Task 1</w:t>
            </w:r>
          </w:p>
        </w:tc>
      </w:tr>
      <w:tr>
        <w:trPr>
          <w:cantSplit/>
        </w:trPr>
        <w:tc>
          <w:p>
            <w:pPr>
              <w:jc w:val="left"/>
            </w:pPr>
            <w:r>
              <w:rPr>
                <w:rFonts w:ascii="Times New Roman" w:cs="Times New Roman" w:eastAsia="Times New Roman" w:hAnsi="Times New Roman"/>
                <w:b w:val="false"/>
                <w:bCs w:val="false"/>
                <w:sz w:val="22"/>
                <w:szCs w:val="22"/>
              </w:rPr>
              <w:t xml:space="preserve">System architecture + STORM/DEXTER interface defined</w:t>
            </w:r>
          </w:p>
        </w:tc>
        <w:tc>
          <w:p>
            <w:pPr>
              <w:jc w:val="left"/>
            </w:pPr>
            <w:r>
              <w:rPr>
                <w:rFonts w:ascii="Times New Roman" w:cs="Times New Roman" w:eastAsia="Times New Roman" w:hAnsi="Times New Roman"/>
                <w:b w:val="false"/>
                <w:bCs w:val="false"/>
                <w:sz w:val="22"/>
                <w:szCs w:val="22"/>
              </w:rPr>
              <w:t xml:space="preserve">M3</w:t>
            </w:r>
          </w:p>
        </w:tc>
        <w:tc>
          <w:p>
            <w:pPr>
              <w:jc w:val="left"/>
            </w:pPr>
            <w:r>
              <w:rPr>
                <w:rFonts w:ascii="Times New Roman" w:cs="Times New Roman" w:eastAsia="Times New Roman" w:hAnsi="Times New Roman"/>
                <w:b w:val="false"/>
                <w:bCs w:val="false"/>
                <w:sz w:val="22"/>
                <w:szCs w:val="22"/>
              </w:rPr>
              <w:t xml:space="preserve">Task 2</w:t>
            </w:r>
          </w:p>
        </w:tc>
      </w:tr>
      <w:tr>
        <w:trPr>
          <w:cantSplit/>
        </w:trPr>
        <w:tc>
          <w:p>
            <w:pPr>
              <w:jc w:val="left"/>
            </w:pPr>
            <w:r>
              <w:rPr>
                <w:rFonts w:ascii="Times New Roman" w:cs="Times New Roman" w:eastAsia="Times New Roman" w:hAnsi="Times New Roman"/>
                <w:b w:val="false"/>
                <w:bCs w:val="false"/>
                <w:sz w:val="22"/>
                <w:szCs w:val="22"/>
              </w:rPr>
              <w:t xml:space="preserve">Progress Report</w:t>
            </w:r>
          </w:p>
        </w:tc>
        <w:tc>
          <w:p>
            <w:pPr>
              <w:jc w:val="left"/>
            </w:pPr>
            <w:r>
              <w:rPr>
                <w:rFonts w:ascii="Times New Roman" w:cs="Times New Roman" w:eastAsia="Times New Roman" w:hAnsi="Times New Roman"/>
                <w:b w:val="false"/>
                <w:bCs w:val="false"/>
                <w:sz w:val="22"/>
                <w:szCs w:val="22"/>
              </w:rPr>
              <w:t xml:space="preserve">M3</w:t>
            </w:r>
          </w:p>
        </w:tc>
        <w:tc>
          <w:p>
            <w:pPr>
              <w:jc w:val="left"/>
            </w:pPr>
            <w:r>
              <w:rPr>
                <w:rFonts w:ascii="Times New Roman" w:cs="Times New Roman" w:eastAsia="Times New Roman" w:hAnsi="Times New Roman"/>
                <w:b w:val="false"/>
                <w:bCs w:val="false"/>
                <w:sz w:val="22"/>
                <w:szCs w:val="22"/>
              </w:rPr>
              <w:t xml:space="preserve">Task 2</w:t>
            </w:r>
          </w:p>
        </w:tc>
      </w:tr>
      <w:tr>
        <w:trPr>
          <w:cantSplit/>
        </w:trPr>
        <w:tc>
          <w:p>
            <w:pPr>
              <w:jc w:val="left"/>
            </w:pPr>
            <w:r>
              <w:rPr>
                <w:rFonts w:ascii="Times New Roman" w:cs="Times New Roman" w:eastAsia="Times New Roman" w:hAnsi="Times New Roman"/>
                <w:b w:val="false"/>
                <w:bCs w:val="false"/>
                <w:sz w:val="22"/>
                <w:szCs w:val="22"/>
              </w:rPr>
              <w:t xml:space="preserve">EO-camera optical-effects bench data + comparison analysis</w:t>
            </w:r>
          </w:p>
        </w:tc>
        <w:tc>
          <w:p>
            <w:pPr>
              <w:jc w:val="left"/>
            </w:pPr>
            <w:r>
              <w:rPr>
                <w:rFonts w:ascii="Times New Roman" w:cs="Times New Roman" w:eastAsia="Times New Roman" w:hAnsi="Times New Roman"/>
                <w:b w:val="false"/>
                <w:bCs w:val="false"/>
                <w:sz w:val="22"/>
                <w:szCs w:val="22"/>
              </w:rPr>
              <w:t xml:space="preserve">M5</w:t>
            </w:r>
          </w:p>
        </w:tc>
        <w:tc>
          <w:p>
            <w:pPr>
              <w:jc w:val="left"/>
            </w:pPr>
            <w:r>
              <w:rPr>
                <w:rFonts w:ascii="Times New Roman" w:cs="Times New Roman" w:eastAsia="Times New Roman" w:hAnsi="Times New Roman"/>
                <w:b w:val="false"/>
                <w:bCs w:val="false"/>
                <w:sz w:val="22"/>
                <w:szCs w:val="22"/>
              </w:rPr>
              <w:t xml:space="preserve">Task 3</w:t>
            </w:r>
          </w:p>
        </w:tc>
      </w:tr>
      <w:tr>
        <w:trPr>
          <w:cantSplit/>
        </w:trPr>
        <w:tc>
          <w:p>
            <w:pPr>
              <w:jc w:val="left"/>
            </w:pPr>
            <w:r>
              <w:rPr>
                <w:rFonts w:ascii="Times New Roman" w:cs="Times New Roman" w:eastAsia="Times New Roman" w:hAnsi="Times New Roman"/>
                <w:b w:val="false"/>
                <w:bCs w:val="false"/>
                <w:sz w:val="22"/>
                <w:szCs w:val="22"/>
              </w:rPr>
              <w:t xml:space="preserve">Final Technical Report</w:t>
            </w:r>
          </w:p>
        </w:tc>
        <w:tc>
          <w:p>
            <w:pPr>
              <w:jc w:val="left"/>
            </w:pPr>
            <w:r>
              <w:rPr>
                <w:rFonts w:ascii="Times New Roman" w:cs="Times New Roman" w:eastAsia="Times New Roman" w:hAnsi="Times New Roman"/>
                <w:b w:val="false"/>
                <w:bCs w:val="false"/>
                <w:sz w:val="22"/>
                <w:szCs w:val="22"/>
              </w:rPr>
              <w:t xml:space="preserve">M6</w:t>
            </w:r>
          </w:p>
        </w:tc>
        <w:tc>
          <w:p>
            <w:pPr>
              <w:jc w:val="left"/>
            </w:pPr>
            <w:r>
              <w:rPr>
                <w:rFonts w:ascii="Times New Roman" w:cs="Times New Roman" w:eastAsia="Times New Roman" w:hAnsi="Times New Roman"/>
                <w:b w:val="false"/>
                <w:bCs w:val="false"/>
                <w:sz w:val="22"/>
                <w:szCs w:val="22"/>
              </w:rPr>
              <w:t xml:space="preserve">Task 4</w:t>
            </w:r>
          </w:p>
        </w:tc>
      </w:tr>
      <w:tr>
        <w:trPr>
          <w:cantSplit/>
        </w:trPr>
        <w:tc>
          <w:p>
            <w:pPr>
              <w:jc w:val="left"/>
            </w:pPr>
            <w:r>
              <w:rPr>
                <w:rFonts w:ascii="Times New Roman" w:cs="Times New Roman" w:eastAsia="Times New Roman" w:hAnsi="Times New Roman"/>
                <w:b w:val="false"/>
                <w:bCs w:val="false"/>
                <w:sz w:val="22"/>
                <w:szCs w:val="22"/>
              </w:rPr>
              <w:t xml:space="preserve">Initial Phase II Proposal</w:t>
            </w:r>
          </w:p>
        </w:tc>
        <w:tc>
          <w:p>
            <w:pPr>
              <w:jc w:val="left"/>
            </w:pPr>
            <w:r>
              <w:rPr>
                <w:rFonts w:ascii="Times New Roman" w:cs="Times New Roman" w:eastAsia="Times New Roman" w:hAnsi="Times New Roman"/>
                <w:b w:val="false"/>
                <w:bCs w:val="false"/>
                <w:sz w:val="22"/>
                <w:szCs w:val="22"/>
              </w:rPr>
              <w:t xml:space="preserve">M6</w:t>
            </w:r>
          </w:p>
        </w:tc>
        <w:tc>
          <w:p>
            <w:pPr>
              <w:jc w:val="left"/>
            </w:pPr>
            <w:r>
              <w:rPr>
                <w:rFonts w:ascii="Times New Roman" w:cs="Times New Roman" w:eastAsia="Times New Roman" w:hAnsi="Times New Roman"/>
                <w:b w:val="false"/>
                <w:bCs w:val="false"/>
                <w:sz w:val="22"/>
                <w:szCs w:val="22"/>
              </w:rPr>
              <w:t xml:space="preserve">Task 4</w:t>
            </w:r>
          </w:p>
        </w:tc>
      </w:tr>
      <w:tr>
        <w:trPr>
          <w:cantSplit/>
        </w:trPr>
        <w:tc>
          <w:p>
            <w:pPr>
              <w:jc w:val="left"/>
            </w:pPr>
            <w:r>
              <w:rPr>
                <w:rFonts w:ascii="Times New Roman" w:cs="Times New Roman" w:eastAsia="Times New Roman" w:hAnsi="Times New Roman"/>
                <w:b w:val="false"/>
                <w:bCs w:val="false"/>
                <w:sz w:val="22"/>
                <w:szCs w:val="22"/>
              </w:rPr>
              <w:t xml:space="preserve">Breadboard optical-effects demonstration (Option)</w:t>
            </w:r>
          </w:p>
        </w:tc>
        <w:tc>
          <w:p>
            <w:pPr>
              <w:jc w:val="left"/>
            </w:pPr>
            <w:r>
              <w:rPr>
                <w:rFonts w:ascii="Times New Roman" w:cs="Times New Roman" w:eastAsia="Times New Roman" w:hAnsi="Times New Roman"/>
                <w:b w:val="false"/>
                <w:bCs w:val="false"/>
                <w:sz w:val="22"/>
                <w:szCs w:val="22"/>
              </w:rPr>
              <w:t xml:space="preserve">M10</w:t>
            </w:r>
          </w:p>
        </w:tc>
        <w:tc>
          <w:p>
            <w:pPr>
              <w:jc w:val="left"/>
            </w:pPr>
            <w:r>
              <w:rPr>
                <w:rFonts w:ascii="Times New Roman" w:cs="Times New Roman" w:eastAsia="Times New Roman" w:hAnsi="Times New Roman"/>
                <w:b w:val="false"/>
                <w:bCs w:val="false"/>
                <w:sz w:val="22"/>
                <w:szCs w:val="22"/>
              </w:rPr>
              <w:t xml:space="preserve">Task 5</w:t>
            </w:r>
          </w:p>
        </w:tc>
      </w:tr>
      <w:tr>
        <w:trPr>
          <w:cantSplit/>
        </w:trPr>
        <w:tc>
          <w:p>
            <w:pPr>
              <w:jc w:val="left"/>
            </w:pPr>
            <w:r>
              <w:rPr>
                <w:rFonts w:ascii="Times New Roman" w:cs="Times New Roman" w:eastAsia="Times New Roman" w:hAnsi="Times New Roman"/>
                <w:b w:val="false"/>
                <w:bCs w:val="false"/>
                <w:sz w:val="22"/>
                <w:szCs w:val="22"/>
              </w:rPr>
              <w:t xml:space="preserve">Phase II prototype + NAVAIR/NAVSEA transition package (Option)</w:t>
            </w:r>
          </w:p>
        </w:tc>
        <w:tc>
          <w:p>
            <w:pPr>
              <w:jc w:val="left"/>
            </w:pPr>
            <w:r>
              <w:rPr>
                <w:rFonts w:ascii="Times New Roman" w:cs="Times New Roman" w:eastAsia="Times New Roman" w:hAnsi="Times New Roman"/>
                <w:b w:val="false"/>
                <w:bCs w:val="false"/>
                <w:sz w:val="22"/>
                <w:szCs w:val="22"/>
              </w:rPr>
              <w:t xml:space="preserve">M12</w:t>
            </w:r>
          </w:p>
        </w:tc>
        <w:tc>
          <w:p>
            <w:pPr>
              <w:jc w:val="left"/>
            </w:pPr>
            <w:r>
              <w:rPr>
                <w:rFonts w:ascii="Times New Roman" w:cs="Times New Roman" w:eastAsia="Times New Roman" w:hAnsi="Times New Roman"/>
                <w:b w:val="false"/>
                <w:bCs w:val="false"/>
                <w:sz w:val="22"/>
                <w:szCs w:val="22"/>
              </w:rPr>
              <w:t xml:space="preserve">Task 6</w:t>
            </w:r>
          </w:p>
        </w:tc>
      </w:tr>
    </w:tbl>
    <w:p>
      <w:pPr>
        <w:pStyle w:val="Heading1"/>
        <w:keepNext/>
      </w:pPr>
      <w:r>
        <w:rPr>
          <w:rFonts w:ascii="Times New Roman" w:cs="Times New Roman" w:eastAsia="Times New Roman" w:hAnsi="Times New Roman"/>
          <w:b/>
          <w:bCs/>
          <w:sz w:val="22"/>
          <w:szCs w:val="22"/>
        </w:rPr>
        <w:t xml:space="preserve">1.3  Related Work</w:t>
      </w:r>
    </w:p>
    <w:p>
      <w:pPr>
        <w:spacing w:after="0" w:before="0"/>
        <w:jc w:val="left"/>
      </w:pPr>
      <w:r>
        <w:rPr>
          <w:rFonts w:ascii="Times New Roman" w:cs="Times New Roman" w:eastAsia="Times New Roman" w:hAnsi="Times New Roman"/>
          <w:sz w:val="22"/>
          <w:szCs w:val="22"/>
        </w:rPr>
        <w:t xml:space="preserve">GHOST builds directly on a funded, TRL-5 directed-energy C-UAS lineage:</w:t>
      </w:r>
    </w:p>
    <w:p>
      <w:pPr>
        <w:pStyle w:val="ListParagraph"/>
        <w:numPr>
          <w:ilvl w:val="0"/>
          <w:numId w:val="1"/>
        </w:numPr>
      </w:pPr>
      <w:r>
        <w:rPr>
          <w:rFonts w:ascii="Times New Roman" w:cs="Times New Roman" w:eastAsia="Times New Roman" w:hAnsi="Times New Roman"/>
          <w:sz w:val="22"/>
          <w:szCs w:val="22"/>
        </w:rPr>
        <w:t xml:space="preserve">Air Force STTR Phase II (HALAR-L). Immobileyes built the Gen-1 HALAR-L directed-energy C-UAS prototype to TRL 5, developed with end-user input from the 72d Security Forces Squadron, Tinker AFB; the company has raised approximately $2M in non-dilutive USAF SBIR/STTR funding. Four prior AF STTR Phase I awards (2021, 2023) with Ohio State, Kent State, and the University of Toledo matured the optical-disruption approach.</w:t>
      </w:r>
    </w:p>
    <w:p>
      <w:pPr>
        <w:pStyle w:val="ListParagraph"/>
        <w:numPr>
          <w:ilvl w:val="0"/>
          <w:numId w:val="1"/>
        </w:numPr>
      </w:pPr>
      <w:r>
        <w:rPr>
          <w:rFonts w:ascii="Times New Roman" w:cs="Times New Roman" w:eastAsia="Times New Roman" w:hAnsi="Times New Roman"/>
          <w:sz w:val="22"/>
          <w:szCs w:val="22"/>
        </w:rPr>
        <w:t xml:space="preserve">AlphaMicron (DEXTER / liquid-crystal optics). Partner since 2020 ($600K in-kind + $1.6M matching); liquid-crystal electro-optics fielded on the Army APEL eyewear program, with AFRL Functional Materials Division ties. Supplies the DEXTER beam-routing technology.</w:t>
      </w:r>
    </w:p>
    <w:p>
      <w:pPr>
        <w:pStyle w:val="ListParagraph"/>
        <w:numPr>
          <w:ilvl w:val="0"/>
          <w:numId w:val="1"/>
        </w:numPr>
      </w:pPr>
      <w:r>
        <w:rPr>
          <w:rFonts w:ascii="Times New Roman" w:cs="Times New Roman" w:eastAsia="Times New Roman" w:hAnsi="Times New Roman"/>
          <w:sz w:val="22"/>
          <w:szCs w:val="22"/>
        </w:rPr>
        <w:t xml:space="preserve">Lighthouse Avionics (detection / sensor fusion). Detection partner with a $1.5M SBIR Phase II and an $800K FAA contract at the UAS Test Site, Griffiss NY, plus U.S. CORE II / Cyber Fortress 25 participation; fuses EO/IR, ADS-B, Remote ID, and laser ranging with multi-frame AI.</w:t>
      </w:r>
    </w:p>
    <w:p>
      <w:pPr>
        <w:pStyle w:val="ListParagraph"/>
        <w:numPr>
          <w:ilvl w:val="0"/>
          <w:numId w:val="1"/>
        </w:numPr>
      </w:pPr>
      <w:r>
        <w:rPr>
          <w:rFonts w:ascii="Times New Roman" w:cs="Times New Roman" w:eastAsia="Times New Roman" w:hAnsi="Times New Roman"/>
          <w:sz w:val="22"/>
          <w:szCs w:val="22"/>
        </w:rPr>
        <w:t xml:space="preserve">Demonstrated effect. A 450 nm blue optical effect was demonstrated against a drone camera at 200 m in prior work—direct evidence for the Phase I optical-perturbation hypothesis (Figure 3).</w:t>
      </w:r>
    </w:p>
    <w:p>
      <w:pPr>
        <w:pStyle w:val="ListParagraph"/>
        <w:numPr>
          <w:ilvl w:val="0"/>
          <w:numId w:val="1"/>
        </w:numPr>
      </w:pPr>
      <w:r>
        <w:rPr>
          <w:rFonts w:ascii="Times New Roman" w:cs="Times New Roman" w:eastAsia="Times New Roman" w:hAnsi="Times New Roman"/>
          <w:sz w:val="22"/>
          <w:szCs w:val="22"/>
        </w:rPr>
        <w:t xml:space="preserve">Intellectual property. Immobileyes holds issued U.S. Patents 11,519,701 and 11,686,560 (plus international application WO2025122941A1), extending the Navy seeker-confusion patents (8,305,252; 8,212,709) this effort applies.</w:t>
      </w:r>
    </w:p>
    <w:p>
      <w:pPr>
        <w:spacing w:after="0" w:before="0"/>
        <w:jc w:val="left"/>
      </w:pPr>
      <w:r>
        <w:rPr>
          <w:rFonts w:ascii="Times New Roman" w:cs="Times New Roman" w:eastAsia="Times New Roman" w:hAnsi="Times New Roman"/>
          <w:sz w:val="22"/>
          <w:szCs w:val="22"/>
        </w:rPr>
        <w:t xml:space="preserve">This lineage means GHOST does not start at a blank sheet: the STORM detection/tracking stack, the DEXTER liquid-crystal beam router, and the graduated-escalation engagement doctrine are already integrated and field-demonstrated at TRL 5 against Group 1–2 UAS. Phase I therefore concentrates the effort where the technical risk actually is—characterizing and quantifying the optical-perturbation effect against EO-guided fiber-optic seekers—rather than re-developing mature subsystems, which is why a 6-month feasibility effort can credibly retire the key uncertainty and hand a defined prototype baseline to Phase II.</w:t>
      </w:r>
    </w:p>
    <w:p>
      <w:pPr>
        <w:pStyle w:val="Heading1"/>
        <w:keepNext/>
      </w:pPr>
      <w:r>
        <w:rPr>
          <w:rFonts w:ascii="Times New Roman" w:cs="Times New Roman" w:eastAsia="Times New Roman" w:hAnsi="Times New Roman"/>
          <w:b/>
          <w:bCs/>
          <w:sz w:val="22"/>
          <w:szCs w:val="22"/>
        </w:rPr>
        <w:t xml:space="preserve">1.4  Defense Need</w:t>
      </w:r>
    </w:p>
    <w:p>
      <w:pPr>
        <w:spacing w:after="0" w:before="0"/>
        <w:jc w:val="left"/>
      </w:pPr>
      <w:r>
        <w:rPr>
          <w:rFonts w:ascii="Times New Roman" w:cs="Times New Roman" w:eastAsia="Times New Roman" w:hAnsi="Times New Roman"/>
          <w:sz w:val="22"/>
          <w:szCs w:val="22"/>
        </w:rPr>
        <w:t xml:space="preserve">End users are NAVAIR and NAVSEA counter-UAS (C-UAS) for Naval installations, Naval aircraft, and ships. The need is urgent and growing: small unmanned aircraft (Groups 1–3) and fiber-optic FPV drones have become the defining tactical air threat of the current era, demonstrated at scale in Ukraine, across the Red Sea and the CENTCOM AOR, and against fixed installations worldwide. They are cheap, attritable, and increasingly RF-silent and GPS-independent—defeating the RF-jamming and radar-centric C-UAS the Navy fields today, and forcing an unfavorable cost-exchange in which a sub-$1,000 airframe expends a far costlier defensive effect.</w:t>
      </w:r>
    </w:p>
    <w:p>
      <w:pPr>
        <w:keepNext/>
        <w:keepLines/>
        <w:spacing w:after="20" w:before="140"/>
        <w:jc w:val="center"/>
      </w:pPr>
      <w:r>
        <w:drawing>
          <wp:inline distT="0" distB="0" distL="0" distR="0">
            <wp:extent cx="23812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400300"/>
                    </a:xfrm>
                    <a:prstGeom prst="rect">
                      <a:avLst/>
                    </a:prstGeom>
                  </pic:spPr>
                </pic:pic>
              </a:graphicData>
            </a:graphic>
          </wp:inline>
        </w:drawing>
      </w:r>
    </w:p>
    <w:p>
      <w:pPr>
        <w:keepNext/>
        <w:keepLines/>
        <w:spacing w:after="150"/>
        <w:jc w:val="center"/>
      </w:pPr>
      <w:r>
        <w:rPr>
          <w:rFonts w:ascii="Times New Roman" w:cs="Times New Roman" w:eastAsia="Times New Roman" w:hAnsi="Times New Roman"/>
          <w:i/>
          <w:iCs/>
          <w:color w:val="666666"/>
          <w:sz w:val="20"/>
          <w:szCs w:val="20"/>
        </w:rPr>
        <w:t xml:space="preserve">Figure 1.  Fiber-optic FPV drones—no RF link, immune to jamming, GPS-independent—now proliferating in current conflicts.</w:t>
      </w:r>
    </w:p>
    <w:p>
      <w:pPr>
        <w:pStyle w:val="Heading2"/>
        <w:keepNext/>
      </w:pPr>
      <w:r>
        <w:rPr>
          <w:rFonts w:ascii="Times New Roman" w:cs="Times New Roman" w:eastAsia="Times New Roman" w:hAnsi="Times New Roman"/>
          <w:b/>
          <w:bCs/>
          <w:sz w:val="22"/>
          <w:szCs w:val="22"/>
        </w:rPr>
        <w:t xml:space="preserve">The Capability Gap DON26BX03-NP002 Targets</w:t>
      </w:r>
    </w:p>
    <w:p>
      <w:pPr>
        <w:spacing w:after="0" w:before="0"/>
        <w:jc w:val="left"/>
      </w:pPr>
      <w:r>
        <w:rPr>
          <w:rFonts w:ascii="Times New Roman" w:cs="Times New Roman" w:eastAsia="Times New Roman" w:hAnsi="Times New Roman"/>
          <w:sz w:val="22"/>
          <w:szCs w:val="22"/>
        </w:rPr>
        <w:t xml:space="preserve">The Department of Defense C-UAS strategy and the Joint Counter-small-UAS Office (JCO) have prioritized affordable, scalable, layered defeat—non-kinetic effects that add magazine depth without expending kinetic interceptors, and that work when the threat carries no RF emission and needs no GPS. The Replicator initiative further elevates attritable, high-volume counter-autonomy at speed and scale. Yet almost no fielded system addresses non-kinetic OPTICAL defeat of EO-guided fiber drones during the terminal attack—precisely the gap this topic targets. GHOST fills it: a software-defined, MOSA-compliant optical C-UAS effector that detects, tracks, identifies, and neutralizes single and swarming UAS with a graduated, human-on-the-loop escalation from warn/deter to dazzle/disrupt to deny/damage.</w:t>
      </w:r>
    </w:p>
    <w:p>
      <w:pPr>
        <w:pStyle w:val="Heading2"/>
        <w:keepNext/>
      </w:pPr>
      <w:r>
        <w:rPr>
          <w:rFonts w:ascii="Times New Roman" w:cs="Times New Roman" w:eastAsia="Times New Roman" w:hAnsi="Times New Roman"/>
          <w:b/>
          <w:bCs/>
          <w:sz w:val="22"/>
          <w:szCs w:val="22"/>
        </w:rPr>
        <w:t xml:space="preserve">Why the Navy—Installations, Aircraft, and Ships</w:t>
      </w:r>
    </w:p>
    <w:p>
      <w:pPr>
        <w:pStyle w:val="ListParagraph"/>
        <w:numPr>
          <w:ilvl w:val="0"/>
          <w:numId w:val="1"/>
        </w:numPr>
      </w:pPr>
      <w:r>
        <w:rPr>
          <w:rFonts w:ascii="Times New Roman" w:cs="Times New Roman" w:eastAsia="Times New Roman" w:hAnsi="Times New Roman"/>
          <w:sz w:val="22"/>
          <w:szCs w:val="22"/>
        </w:rPr>
        <w:t xml:space="preserve">Installations &amp; bases (CONUS/OCONUS): GHOST's graduated, non-kinetic, low-collateral effect is uniquely suited to force-protection where kinetic engagement is constrained by airspace, ROE, and collateral risk—defending the flight line, magazines, and critical infrastructure.</w:t>
      </w:r>
    </w:p>
    <w:p>
      <w:pPr>
        <w:pStyle w:val="ListParagraph"/>
        <w:numPr>
          <w:ilvl w:val="0"/>
          <w:numId w:val="1"/>
        </w:numPr>
      </w:pPr>
      <w:r>
        <w:rPr>
          <w:rFonts w:ascii="Times New Roman" w:cs="Times New Roman" w:eastAsia="Times New Roman" w:hAnsi="Times New Roman"/>
          <w:sz w:val="22"/>
          <w:szCs w:val="22"/>
        </w:rPr>
        <w:t xml:space="preserve">Naval aircraft on the ramp: low-SWaP optical effectors protect high-value aircraft against ramp-side FPV attack without the emissions or collateral footprint of RF/kinetic systems.</w:t>
      </w:r>
    </w:p>
    <w:p>
      <w:pPr>
        <w:pStyle w:val="ListParagraph"/>
        <w:numPr>
          <w:ilvl w:val="0"/>
          <w:numId w:val="1"/>
        </w:numPr>
      </w:pPr>
      <w:r>
        <w:rPr>
          <w:rFonts w:ascii="Times New Roman" w:cs="Times New Roman" w:eastAsia="Times New Roman" w:hAnsi="Times New Roman"/>
          <w:sz w:val="22"/>
          <w:szCs w:val="22"/>
        </w:rPr>
        <w:t xml:space="preserve">Ships in the littorals: DEXTER's no-moving-parts, multi-beam "shotgun" architecture engages saturating swarms simultaneously—the exact magazine-depth problem most acute against a ship under a coordinated small-UAS raid.</w:t>
      </w:r>
    </w:p>
    <w:p>
      <w:pPr>
        <w:pStyle w:val="Heading2"/>
        <w:keepNext/>
      </w:pPr>
      <w:r>
        <w:rPr>
          <w:rFonts w:ascii="Times New Roman" w:cs="Times New Roman" w:eastAsia="Times New Roman" w:hAnsi="Times New Roman"/>
          <w:b/>
          <w:bCs/>
          <w:sz w:val="22"/>
          <w:szCs w:val="22"/>
        </w:rPr>
        <w:t xml:space="preserve">Concept of Employment</w:t>
      </w:r>
    </w:p>
    <w:p>
      <w:pPr>
        <w:spacing w:after="0" w:before="0"/>
        <w:jc w:val="left"/>
      </w:pPr>
      <w:r>
        <w:rPr>
          <w:rFonts w:ascii="Times New Roman" w:cs="Times New Roman" w:eastAsia="Times New Roman" w:hAnsi="Times New Roman"/>
          <w:sz w:val="22"/>
          <w:szCs w:val="22"/>
        </w:rPr>
        <w:t xml:space="preserve">GHOST deploys as a modular effector cued by existing Navy sensors over MOSA interfaces (EO/IR, radar, RF/EW, or TSPI). STORM performs AI-enabled EO/IR detect–identify–track and presents a human-on-the-loop the graduated response level; DEXTER routes optical energy across one to hundreds of outputs in microseconds to engage single targets or swarms. Because the effect is non-kinetic and reversible at the lowest escalation levels, GHOST is employable in permissive, contested, and CONUS-base environments where kinetic defeat is not.</w:t>
      </w:r>
    </w:p>
    <w:p>
      <w:pPr>
        <w:spacing w:after="0" w:before="0"/>
        <w:jc w:val="left"/>
      </w:pPr>
      <w:r>
        <w:rPr>
          <w:rFonts w:ascii="Times New Roman" w:cs="Times New Roman" w:eastAsia="Times New Roman" w:hAnsi="Times New Roman"/>
          <w:sz w:val="22"/>
          <w:szCs w:val="22"/>
        </w:rPr>
        <w:t xml:space="preserve">Operational value to the warfighter is decisive: affordable magazine depth against attritable threats, a passive/low-emission signature that does not cue the adversary, robustness in GPS- and RF-denied conditions, and a graduated kill chain that keeps a human in control of lethality. GHOST converts an unfavorable cost-exchange into a favorable one—defeating a swarm of sub-$1,000 drones with reusable optical energy rather than expendable interceptors.</w:t>
      </w:r>
    </w:p>
    <w:p>
      <w:pPr>
        <w:pStyle w:val="Heading1"/>
        <w:keepNext/>
      </w:pPr>
      <w:r>
        <w:rPr>
          <w:rFonts w:ascii="Times New Roman" w:cs="Times New Roman" w:eastAsia="Times New Roman" w:hAnsi="Times New Roman"/>
          <w:b/>
          <w:bCs/>
          <w:sz w:val="22"/>
          <w:szCs w:val="22"/>
        </w:rPr>
        <w:t xml:space="preserve">2.0  Key Personnel</w:t>
      </w:r>
    </w:p>
    <w:p>
      <w:pPr>
        <w:spacing w:after="0" w:before="0"/>
        <w:jc w:val="left"/>
      </w:pPr>
      <w:r>
        <w:rPr>
          <w:rFonts w:ascii="Times New Roman" w:cs="Times New Roman" w:eastAsia="Times New Roman" w:hAnsi="Times New Roman"/>
          <w:sz w:val="22"/>
          <w:szCs w:val="22"/>
        </w:rPr>
        <w:t xml:space="preserve">The Phase I team is led by Immobileyes technical and program staff; all proposed personnel are U.S. Citizens.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
            <w:shd w:color="D9E1F2" w:val="solid"/>
          </w:tcPr>
          <w:p>
            <w:pPr>
              <w:jc w:val="center"/>
            </w:pPr>
            <w:r>
              <w:rPr>
                <w:rFonts w:ascii="Times New Roman" w:cs="Times New Roman" w:eastAsia="Times New Roman" w:hAnsi="Times New Roman"/>
                <w:b/>
                <w:bCs/>
                <w:sz w:val="22"/>
                <w:szCs w:val="22"/>
              </w:rPr>
              <w:t xml:space="preserve">Name</w:t>
            </w:r>
          </w:p>
        </w:tc>
        <w:tc>
          <w:tcPr>
            <w:tcW w:type="pct" w:w="25%"/>
            <w:shd w:color="D9E1F2" w:val="solid"/>
          </w:tcPr>
          <w:p>
            <w:pPr>
              <w:jc w:val="center"/>
            </w:pPr>
            <w:r>
              <w:rPr>
                <w:rFonts w:ascii="Times New Roman" w:cs="Times New Roman" w:eastAsia="Times New Roman" w:hAnsi="Times New Roman"/>
                <w:b/>
                <w:bCs/>
                <w:sz w:val="22"/>
                <w:szCs w:val="22"/>
              </w:rPr>
              <w:t xml:space="preserve">Role on Effort</w:t>
            </w:r>
          </w:p>
        </w:tc>
        <w:tc>
          <w:tcPr>
            <w:tcW w:type="pct" w:w="25%"/>
            <w:shd w:color="D9E1F2" w:val="solid"/>
          </w:tcPr>
          <w:p>
            <w:pPr>
              <w:jc w:val="center"/>
            </w:pPr>
            <w:r>
              <w:rPr>
                <w:rFonts w:ascii="Times New Roman" w:cs="Times New Roman" w:eastAsia="Times New Roman" w:hAnsi="Times New Roman"/>
                <w:b/>
                <w:bCs/>
                <w:sz w:val="22"/>
                <w:szCs w:val="22"/>
              </w:rPr>
              <w:t xml:space="preserve">Education</w:t>
            </w:r>
          </w:p>
        </w:tc>
        <w:tc>
          <w:tcPr>
            <w:tcW w:type="pct" w:w="25%"/>
            <w:shd w:color="D9E1F2" w:val="solid"/>
          </w:tcPr>
          <w:p>
            <w:pPr>
              <w:jc w:val="center"/>
            </w:pPr>
            <w:r>
              <w:rPr>
                <w:rFonts w:ascii="Times New Roman" w:cs="Times New Roman" w:eastAsia="Times New Roman" w:hAnsi="Times New Roman"/>
                <w:b/>
                <w:bCs/>
                <w:sz w:val="22"/>
                <w:szCs w:val="22"/>
              </w:rPr>
              <w:t xml:space="preserve">Relevant Experience</w:t>
            </w:r>
          </w:p>
        </w:tc>
      </w:tr>
      <w:tr>
        <w:trPr>
          <w:cantSplit/>
        </w:trPr>
        <w:tc>
          <w:p>
            <w:pPr>
              <w:jc w:val="left"/>
            </w:pPr>
            <w:r>
              <w:rPr>
                <w:rFonts w:ascii="Times New Roman" w:cs="Times New Roman" w:eastAsia="Times New Roman" w:hAnsi="Times New Roman"/>
                <w:b w:val="false"/>
                <w:bCs w:val="false"/>
                <w:sz w:val="22"/>
                <w:szCs w:val="22"/>
              </w:rPr>
              <w:t xml:space="preserve">Dr. Bahman Taheri</w:t>
            </w:r>
          </w:p>
        </w:tc>
        <w:tc>
          <w:p>
            <w:pPr>
              <w:jc w:val="left"/>
            </w:pPr>
            <w:r>
              <w:rPr>
                <w:rFonts w:ascii="Times New Roman" w:cs="Times New Roman" w:eastAsia="Times New Roman" w:hAnsi="Times New Roman"/>
                <w:b w:val="false"/>
                <w:bCs w:val="false"/>
                <w:sz w:val="22"/>
                <w:szCs w:val="22"/>
              </w:rPr>
              <w:t xml:space="preserve">Principal Investigator / Electro-Optics Lead</w:t>
            </w:r>
          </w:p>
        </w:tc>
        <w:tc>
          <w:p>
            <w:pPr>
              <w:jc w:val="left"/>
            </w:pPr>
            <w:r>
              <w:rPr>
                <w:rFonts w:ascii="Times New Roman" w:cs="Times New Roman" w:eastAsia="Times New Roman" w:hAnsi="Times New Roman"/>
                <w:b w:val="false"/>
                <w:bCs w:val="false"/>
                <w:sz w:val="22"/>
                <w:szCs w:val="22"/>
              </w:rPr>
              <w:t xml:space="preserve">PhD/MS Physics (Oklahoma State); BS Physics (Cal Poly SLO)</w:t>
            </w:r>
          </w:p>
        </w:tc>
        <w:tc>
          <w:p>
            <w:pPr>
              <w:jc w:val="left"/>
            </w:pPr>
            <w:r>
              <w:rPr>
                <w:rFonts w:ascii="Times New Roman" w:cs="Times New Roman" w:eastAsia="Times New Roman" w:hAnsi="Times New Roman"/>
                <w:b w:val="false"/>
                <w:bCs w:val="false"/>
                <w:sz w:val="22"/>
                <w:szCs w:val="22"/>
              </w:rPr>
              <w:t xml:space="preserve">90+ patents; PI on Air Force, Navy (ONR), Army, DOE, and NSF programs in liquid-crystal electro-optics, laser/flash protection, and cholesteric-liquid-crystal laser systems; Secret clearance.</w:t>
            </w:r>
          </w:p>
        </w:tc>
      </w:tr>
      <w:tr>
        <w:trPr>
          <w:cantSplit/>
        </w:trPr>
        <w:tc>
          <w:p>
            <w:pPr>
              <w:jc w:val="left"/>
            </w:pPr>
            <w:r>
              <w:rPr>
                <w:rFonts w:ascii="Times New Roman" w:cs="Times New Roman" w:eastAsia="Times New Roman" w:hAnsi="Times New Roman"/>
                <w:b w:val="false"/>
                <w:bCs w:val="false"/>
                <w:sz w:val="22"/>
                <w:szCs w:val="22"/>
              </w:rPr>
              <w:t xml:space="preserve">Atossa Alavi</w:t>
            </w:r>
          </w:p>
        </w:tc>
        <w:tc>
          <w:p>
            <w:pPr>
              <w:jc w:val="left"/>
            </w:pPr>
            <w:r>
              <w:rPr>
                <w:rFonts w:ascii="Times New Roman" w:cs="Times New Roman" w:eastAsia="Times New Roman" w:hAnsi="Times New Roman"/>
                <w:b w:val="false"/>
                <w:bCs w:val="false"/>
                <w:sz w:val="22"/>
                <w:szCs w:val="22"/>
              </w:rPr>
              <w:t xml:space="preserve">Program Manager / Business &amp; IP Lead</w:t>
            </w:r>
          </w:p>
        </w:tc>
        <w:tc>
          <w:p>
            <w:pPr>
              <w:jc w:val="left"/>
            </w:pPr>
            <w:r>
              <w:rPr>
                <w:rFonts w:ascii="Times New Roman" w:cs="Times New Roman" w:eastAsia="Times New Roman" w:hAnsi="Times New Roman"/>
                <w:b w:val="false"/>
                <w:bCs w:val="false"/>
                <w:sz w:val="22"/>
                <w:szCs w:val="22"/>
              </w:rPr>
              <w:t xml:space="preserve">JD (Case Western); USPTO-admitted</w:t>
            </w:r>
          </w:p>
        </w:tc>
        <w:tc>
          <w:p>
            <w:pPr>
              <w:jc w:val="left"/>
            </w:pPr>
            <w:r>
              <w:rPr>
                <w:rFonts w:ascii="Times New Roman" w:cs="Times New Roman" w:eastAsia="Times New Roman" w:hAnsi="Times New Roman"/>
                <w:b w:val="false"/>
                <w:bCs w:val="false"/>
                <w:sz w:val="22"/>
                <w:szCs w:val="22"/>
              </w:rPr>
              <w:t xml:space="preserve">Program management, DoD transition, and IP strategy for the AlphaMicron/Immobileyes technology base.</w:t>
            </w:r>
          </w:p>
        </w:tc>
      </w:tr>
      <w:tr>
        <w:trPr>
          <w:cantSplit/>
        </w:trPr>
        <w:tc>
          <w:p>
            <w:pPr>
              <w:jc w:val="left"/>
            </w:pPr>
            <w:r>
              <w:rPr>
                <w:rFonts w:ascii="Times New Roman" w:cs="Times New Roman" w:eastAsia="Times New Roman" w:hAnsi="Times New Roman"/>
                <w:b w:val="false"/>
                <w:bCs w:val="false"/>
                <w:sz w:val="22"/>
                <w:szCs w:val="22"/>
              </w:rPr>
              <w:t xml:space="preserve">Senior Optical Engineer</w:t>
            </w:r>
          </w:p>
        </w:tc>
        <w:tc>
          <w:p>
            <w:pPr>
              <w:jc w:val="left"/>
            </w:pPr>
            <w:r>
              <w:rPr>
                <w:rFonts w:ascii="Times New Roman" w:cs="Times New Roman" w:eastAsia="Times New Roman" w:hAnsi="Times New Roman"/>
                <w:b w:val="false"/>
                <w:bCs w:val="false"/>
                <w:sz w:val="22"/>
                <w:szCs w:val="22"/>
              </w:rPr>
              <w:t xml:space="preserve">DEXTER integration &amp; optical-effects test</w:t>
            </w:r>
          </w:p>
        </w:tc>
        <w:tc>
          <w:p>
            <w:pPr>
              <w:jc w:val="left"/>
            </w:pPr>
            <w:r>
              <w:rPr>
                <w:rFonts w:ascii="Times New Roman" w:cs="Times New Roman" w:eastAsia="Times New Roman" w:hAnsi="Times New Roman"/>
                <w:b w:val="false"/>
                <w:bCs w:val="false"/>
                <w:sz w:val="22"/>
                <w:szCs w:val="22"/>
              </w:rPr>
              <w:t xml:space="preserve">MS Optics/Physics</w:t>
            </w:r>
          </w:p>
        </w:tc>
        <w:tc>
          <w:p>
            <w:pPr>
              <w:jc w:val="left"/>
            </w:pPr>
            <w:r>
              <w:rPr>
                <w:rFonts w:ascii="Times New Roman" w:cs="Times New Roman" w:eastAsia="Times New Roman" w:hAnsi="Times New Roman"/>
                <w:b w:val="false"/>
                <w:bCs w:val="false"/>
                <w:sz w:val="22"/>
                <w:szCs w:val="22"/>
              </w:rPr>
              <w:t xml:space="preserve">Liquid-crystal beam-steering, laser sources, and EO camera characterization.</w:t>
            </w:r>
          </w:p>
        </w:tc>
      </w:tr>
      <w:tr>
        <w:trPr>
          <w:cantSplit/>
        </w:trPr>
        <w:tc>
          <w:p>
            <w:pPr>
              <w:jc w:val="left"/>
            </w:pPr>
            <w:r>
              <w:rPr>
                <w:rFonts w:ascii="Times New Roman" w:cs="Times New Roman" w:eastAsia="Times New Roman" w:hAnsi="Times New Roman"/>
                <w:b w:val="false"/>
                <w:bCs w:val="false"/>
                <w:sz w:val="22"/>
                <w:szCs w:val="22"/>
              </w:rPr>
              <w:t xml:space="preserve">Electrical / Software Engineers</w:t>
            </w:r>
          </w:p>
        </w:tc>
        <w:tc>
          <w:p>
            <w:pPr>
              <w:jc w:val="left"/>
            </w:pPr>
            <w:r>
              <w:rPr>
                <w:rFonts w:ascii="Times New Roman" w:cs="Times New Roman" w:eastAsia="Times New Roman" w:hAnsi="Times New Roman"/>
                <w:b w:val="false"/>
                <w:bCs w:val="false"/>
                <w:sz w:val="22"/>
                <w:szCs w:val="22"/>
              </w:rPr>
              <w:t xml:space="preserve">STORM tracking &amp; control; test automation</w:t>
            </w:r>
          </w:p>
        </w:tc>
        <w:tc>
          <w:p>
            <w:pPr>
              <w:jc w:val="left"/>
            </w:pPr>
            <w:r>
              <w:rPr>
                <w:rFonts w:ascii="Times New Roman" w:cs="Times New Roman" w:eastAsia="Times New Roman" w:hAnsi="Times New Roman"/>
                <w:b w:val="false"/>
                <w:bCs w:val="false"/>
                <w:sz w:val="22"/>
                <w:szCs w:val="22"/>
              </w:rPr>
              <w:t xml:space="preserve">BS/MS EE, CS</w:t>
            </w:r>
          </w:p>
        </w:tc>
        <w:tc>
          <w:p>
            <w:pPr>
              <w:jc w:val="left"/>
            </w:pPr>
            <w:r>
              <w:rPr>
                <w:rFonts w:ascii="Times New Roman" w:cs="Times New Roman" w:eastAsia="Times New Roman" w:hAnsi="Times New Roman"/>
                <w:b w:val="false"/>
                <w:bCs w:val="false"/>
                <w:sz w:val="22"/>
                <w:szCs w:val="22"/>
              </w:rPr>
              <w:t xml:space="preserve">Real-time detect-track, control electronics, and data pipelines for the feasibility campaign.</w:t>
            </w:r>
          </w:p>
        </w:tc>
      </w:tr>
    </w:tbl>
    <w:p>
      <w:pPr>
        <w:spacing w:after="0" w:before="0"/>
        <w:jc w:val="left"/>
      </w:pPr>
      <w:r>
        <w:rPr>
          <w:rFonts w:ascii="Times New Roman" w:cs="Times New Roman" w:eastAsia="Times New Roman" w:hAnsi="Times New Roman"/>
          <w:sz w:val="22"/>
          <w:szCs w:val="22"/>
        </w:rPr>
        <w:t xml:space="preserve">The Phase I team combines a nationally recognized electro-optics research group with in-house engineering and machining staff, all under one roof at the Kent, OH facility. Dr. Taheri holds a Secret clearance and has served as principal investigator on directed-energy and liquid-crystal programs for the Air Force, Navy (ONR), Army, DOE, and NSF; the supporting optical, electrical, software, and mechanical engineers executed the HALAR-L and TACFI C-UAS prototypes. This depth lets the team run the Phase I laboratory campaign without new hires or subcontracted labor, and provides direct continuity into a Phase II prototype.</w:t>
      </w:r>
    </w:p>
    <w:p>
      <w:pPr>
        <w:spacing w:after="0" w:before="0"/>
        <w:jc w:val="left"/>
      </w:pPr>
      <w:r>
        <w:rPr>
          <w:rFonts w:ascii="Times New Roman" w:cs="Times New Roman" w:eastAsia="Times New Roman" w:hAnsi="Times New Roman"/>
          <w:b/>
          <w:bCs/>
          <w:sz w:val="22"/>
          <w:szCs w:val="22"/>
        </w:rPr>
        <w:t xml:space="preserve">Restriction on performance by foreign persons: this topi</w:t>
      </w:r>
      <w:r>
        <w:rPr>
          <w:rFonts w:ascii="Times New Roman" w:cs="Times New Roman" w:eastAsia="Times New Roman" w:hAnsi="Times New Roman"/>
          <w:sz w:val="22"/>
          <w:szCs w:val="22"/>
        </w:rPr>
        <w:t xml:space="preserve">c is ITAR-restricted (22 CFR 120–130). No foreign nationals are proposed to perform on this effort; all personnel are U.S. Citizens, consistent with topic §3.5.</w:t>
      </w:r>
    </w:p>
    <w:p>
      <w:pPr>
        <w:pStyle w:val="Heading1"/>
        <w:keepNext/>
      </w:pPr>
      <w:r>
        <w:rPr>
          <w:rFonts w:ascii="Times New Roman" w:cs="Times New Roman" w:eastAsia="Times New Roman" w:hAnsi="Times New Roman"/>
          <w:b/>
          <w:bCs/>
          <w:sz w:val="22"/>
          <w:szCs w:val="22"/>
        </w:rPr>
        <w:t xml:space="preserve">3.0  Commercialization / Transition Plan Summary</w:t>
      </w:r>
    </w:p>
    <w:p>
      <w:pPr>
        <w:spacing w:after="0" w:before="0"/>
        <w:jc w:val="left"/>
      </w:pPr>
      <w:r>
        <w:rPr>
          <w:rFonts w:ascii="Times New Roman" w:cs="Times New Roman" w:eastAsia="Times New Roman" w:hAnsi="Times New Roman"/>
          <w:sz w:val="22"/>
          <w:szCs w:val="22"/>
        </w:rPr>
        <w:t xml:space="preserve">GHOST is a dual-use capability with a clear DoD transition anchor and a large adjacent commercial market. The DoD path de-risks the technology and provides the reference customer; the commercial path scales manufacturing and drives unit cost down for both.</w:t>
      </w:r>
    </w:p>
    <w:p>
      <w:pPr>
        <w:pStyle w:val="Heading2"/>
        <w:keepNext/>
      </w:pPr>
      <w:r>
        <w:rPr>
          <w:rFonts w:ascii="Times New Roman" w:cs="Times New Roman" w:eastAsia="Times New Roman" w:hAnsi="Times New Roman"/>
          <w:b/>
          <w:bCs/>
          <w:sz w:val="22"/>
          <w:szCs w:val="22"/>
        </w:rPr>
        <w:t xml:space="preserve">DoD Transition Path and Customers</w:t>
      </w:r>
    </w:p>
    <w:p>
      <w:pPr>
        <w:spacing w:after="0" w:before="0"/>
        <w:jc w:val="left"/>
      </w:pPr>
      <w:r>
        <w:rPr>
          <w:rFonts w:ascii="Times New Roman" w:cs="Times New Roman" w:eastAsia="Times New Roman" w:hAnsi="Times New Roman"/>
          <w:sz w:val="22"/>
          <w:szCs w:val="22"/>
        </w:rPr>
        <w:t xml:space="preserve">Primary transition targets are NAVAIR and NAVSEA installation- and ship-C-UAS programs of record, with expansion to the USMC (installation and expeditionary force protection), Army RCCTO/JCO, and Air Force Security Forces—building on Immobileyes' established Tinker AFB 72d Security Forces Squadron relationship. Phase I establishes feasibility and the seeker-confusion effect against representative EO-guided FPV sensors; Phase II delivers a TRL-6 prototype for a Navy operational assessment; Phase III/insertion pursues Foreign Comparative Testing (FCT), ManTech, and Replicator-aligned procurement into a JCO-recognized C-sUAS program.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rPr>
        <w:tc>
          <w:tcPr>
            <w:tcW w:type="pct" w:w="25%"/>
            <w:shd w:color="D9E1F2" w:val="solid"/>
          </w:tcPr>
          <w:p>
            <w:pPr>
              <w:jc w:val="center"/>
            </w:pPr>
            <w:r>
              <w:rPr>
                <w:rFonts w:ascii="Times New Roman" w:cs="Times New Roman" w:eastAsia="Times New Roman" w:hAnsi="Times New Roman"/>
                <w:b/>
                <w:bCs/>
                <w:sz w:val="22"/>
                <w:szCs w:val="22"/>
              </w:rPr>
              <w:t xml:space="preserve">Milestone</w:t>
            </w:r>
          </w:p>
        </w:tc>
        <w:tc>
          <w:tcPr>
            <w:tcW w:type="pct" w:w="25%"/>
            <w:shd w:color="D9E1F2" w:val="solid"/>
          </w:tcPr>
          <w:p>
            <w:pPr>
              <w:jc w:val="center"/>
            </w:pPr>
            <w:r>
              <w:rPr>
                <w:rFonts w:ascii="Times New Roman" w:cs="Times New Roman" w:eastAsia="Times New Roman" w:hAnsi="Times New Roman"/>
                <w:b/>
                <w:bCs/>
                <w:sz w:val="22"/>
                <w:szCs w:val="22"/>
              </w:rPr>
              <w:t xml:space="preserve">Phase</w:t>
            </w:r>
          </w:p>
        </w:tc>
        <w:tc>
          <w:tcPr>
            <w:tcW w:type="pct" w:w="25%"/>
            <w:shd w:color="D9E1F2" w:val="solid"/>
          </w:tcPr>
          <w:p>
            <w:pPr>
              <w:jc w:val="center"/>
            </w:pPr>
            <w:r>
              <w:rPr>
                <w:rFonts w:ascii="Times New Roman" w:cs="Times New Roman" w:eastAsia="Times New Roman" w:hAnsi="Times New Roman"/>
                <w:b/>
                <w:bCs/>
                <w:sz w:val="22"/>
                <w:szCs w:val="22"/>
              </w:rPr>
              <w:t xml:space="preserve">TRL</w:t>
            </w:r>
          </w:p>
        </w:tc>
        <w:tc>
          <w:tcPr>
            <w:tcW w:type="pct" w:w="25%"/>
            <w:shd w:color="D9E1F2" w:val="solid"/>
          </w:tcPr>
          <w:p>
            <w:pPr>
              <w:jc w:val="center"/>
            </w:pPr>
            <w:r>
              <w:rPr>
                <w:rFonts w:ascii="Times New Roman" w:cs="Times New Roman" w:eastAsia="Times New Roman" w:hAnsi="Times New Roman"/>
                <w:b/>
                <w:bCs/>
                <w:sz w:val="22"/>
                <w:szCs w:val="22"/>
              </w:rPr>
              <w:t xml:space="preserve">Outcome</w:t>
            </w:r>
          </w:p>
        </w:tc>
      </w:tr>
      <w:tr>
        <w:trPr>
          <w:cantSplit/>
        </w:trPr>
        <w:tc>
          <w:p>
            <w:pPr>
              <w:jc w:val="left"/>
            </w:pPr>
            <w:r>
              <w:rPr>
                <w:rFonts w:ascii="Times New Roman" w:cs="Times New Roman" w:eastAsia="Times New Roman" w:hAnsi="Times New Roman"/>
                <w:b w:val="false"/>
                <w:bCs w:val="false"/>
                <w:sz w:val="22"/>
                <w:szCs w:val="22"/>
              </w:rPr>
              <w:t xml:space="preserve">Feasibility &amp; effect characterization</w:t>
            </w:r>
          </w:p>
        </w:tc>
        <w:tc>
          <w:p>
            <w:pPr>
              <w:jc w:val="left"/>
            </w:pPr>
            <w:r>
              <w:rPr>
                <w:rFonts w:ascii="Times New Roman" w:cs="Times New Roman" w:eastAsia="Times New Roman" w:hAnsi="Times New Roman"/>
                <w:b w:val="false"/>
                <w:bCs w:val="false"/>
                <w:sz w:val="22"/>
                <w:szCs w:val="22"/>
              </w:rPr>
              <w:t xml:space="preserve">Phase I</w:t>
            </w:r>
          </w:p>
        </w:tc>
        <w:tc>
          <w:p>
            <w:pPr>
              <w:jc w:val="left"/>
            </w:pPr>
            <w:r>
              <w:rPr>
                <w:rFonts w:ascii="Times New Roman" w:cs="Times New Roman" w:eastAsia="Times New Roman" w:hAnsi="Times New Roman"/>
                <w:b w:val="false"/>
                <w:bCs w:val="false"/>
                <w:sz w:val="22"/>
                <w:szCs w:val="22"/>
              </w:rPr>
              <w:t xml:space="preserve">3→4</w:t>
            </w:r>
          </w:p>
        </w:tc>
        <w:tc>
          <w:p>
            <w:pPr>
              <w:jc w:val="left"/>
            </w:pPr>
            <w:r>
              <w:rPr>
                <w:rFonts w:ascii="Times New Roman" w:cs="Times New Roman" w:eastAsia="Times New Roman" w:hAnsi="Times New Roman"/>
                <w:b w:val="false"/>
                <w:bCs w:val="false"/>
                <w:sz w:val="22"/>
                <w:szCs w:val="22"/>
              </w:rPr>
              <w:t xml:space="preserve">Seeker-confusion demonstrated vs. representative EO-guided FPV sensors</w:t>
            </w:r>
          </w:p>
        </w:tc>
      </w:tr>
      <w:tr>
        <w:trPr>
          <w:cantSplit/>
        </w:trPr>
        <w:tc>
          <w:p>
            <w:pPr>
              <w:jc w:val="left"/>
            </w:pPr>
            <w:r>
              <w:rPr>
                <w:rFonts w:ascii="Times New Roman" w:cs="Times New Roman" w:eastAsia="Times New Roman" w:hAnsi="Times New Roman"/>
                <w:b w:val="false"/>
                <w:bCs w:val="false"/>
                <w:sz w:val="22"/>
                <w:szCs w:val="22"/>
              </w:rPr>
              <w:t xml:space="preserve">Integrated GHOST prototype</w:t>
            </w:r>
          </w:p>
        </w:tc>
        <w:tc>
          <w:p>
            <w:pPr>
              <w:jc w:val="left"/>
            </w:pPr>
            <w:r>
              <w:rPr>
                <w:rFonts w:ascii="Times New Roman" w:cs="Times New Roman" w:eastAsia="Times New Roman" w:hAnsi="Times New Roman"/>
                <w:b w:val="false"/>
                <w:bCs w:val="false"/>
                <w:sz w:val="22"/>
                <w:szCs w:val="22"/>
              </w:rPr>
              <w:t xml:space="preserve">Phase II</w:t>
            </w:r>
          </w:p>
        </w:tc>
        <w:tc>
          <w:p>
            <w:pPr>
              <w:jc w:val="left"/>
            </w:pPr>
            <w:r>
              <w:rPr>
                <w:rFonts w:ascii="Times New Roman" w:cs="Times New Roman" w:eastAsia="Times New Roman" w:hAnsi="Times New Roman"/>
                <w:b w:val="false"/>
                <w:bCs w:val="false"/>
                <w:sz w:val="22"/>
                <w:szCs w:val="22"/>
              </w:rPr>
              <w:t xml:space="preserve">5→6</w:t>
            </w:r>
          </w:p>
        </w:tc>
        <w:tc>
          <w:p>
            <w:pPr>
              <w:jc w:val="left"/>
            </w:pPr>
            <w:r>
              <w:rPr>
                <w:rFonts w:ascii="Times New Roman" w:cs="Times New Roman" w:eastAsia="Times New Roman" w:hAnsi="Times New Roman"/>
                <w:b w:val="false"/>
                <w:bCs w:val="false"/>
                <w:sz w:val="22"/>
                <w:szCs w:val="22"/>
              </w:rPr>
              <w:t xml:space="preserve">Navy operational assessment; MOSA cueing integration</w:t>
            </w:r>
          </w:p>
        </w:tc>
      </w:tr>
      <w:tr>
        <w:trPr>
          <w:cantSplit/>
        </w:trPr>
        <w:tc>
          <w:p>
            <w:pPr>
              <w:jc w:val="left"/>
            </w:pPr>
            <w:r>
              <w:rPr>
                <w:rFonts w:ascii="Times New Roman" w:cs="Times New Roman" w:eastAsia="Times New Roman" w:hAnsi="Times New Roman"/>
                <w:b w:val="false"/>
                <w:bCs w:val="false"/>
                <w:sz w:val="22"/>
                <w:szCs w:val="22"/>
              </w:rPr>
              <w:t xml:space="preserve">Operational insertion</w:t>
            </w:r>
          </w:p>
        </w:tc>
        <w:tc>
          <w:p>
            <w:pPr>
              <w:jc w:val="left"/>
            </w:pPr>
            <w:r>
              <w:rPr>
                <w:rFonts w:ascii="Times New Roman" w:cs="Times New Roman" w:eastAsia="Times New Roman" w:hAnsi="Times New Roman"/>
                <w:b w:val="false"/>
                <w:bCs w:val="false"/>
                <w:sz w:val="22"/>
                <w:szCs w:val="22"/>
              </w:rPr>
              <w:t xml:space="preserve">Phase III</w:t>
            </w:r>
          </w:p>
        </w:tc>
        <w:tc>
          <w:p>
            <w:pPr>
              <w:jc w:val="left"/>
            </w:pPr>
            <w:r>
              <w:rPr>
                <w:rFonts w:ascii="Times New Roman" w:cs="Times New Roman" w:eastAsia="Times New Roman" w:hAnsi="Times New Roman"/>
                <w:b w:val="false"/>
                <w:bCs w:val="false"/>
                <w:sz w:val="22"/>
                <w:szCs w:val="22"/>
              </w:rPr>
              <w:t xml:space="preserve">7+</w:t>
            </w:r>
          </w:p>
        </w:tc>
        <w:tc>
          <w:p>
            <w:pPr>
              <w:jc w:val="left"/>
            </w:pPr>
            <w:r>
              <w:rPr>
                <w:rFonts w:ascii="Times New Roman" w:cs="Times New Roman" w:eastAsia="Times New Roman" w:hAnsi="Times New Roman"/>
                <w:b w:val="false"/>
                <w:bCs w:val="false"/>
                <w:sz w:val="22"/>
                <w:szCs w:val="22"/>
              </w:rPr>
              <w:t xml:space="preserve">PoR insertion (NAVAIR/NAVSEA); FCT/ManTech; Replicator-aligned buy</w:t>
            </w:r>
          </w:p>
        </w:tc>
      </w:tr>
    </w:tbl>
    <w:p>
      <w:pPr>
        <w:pStyle w:val="Heading2"/>
        <w:keepNext/>
      </w:pPr>
      <w:r>
        <w:rPr>
          <w:rFonts w:ascii="Times New Roman" w:cs="Times New Roman" w:eastAsia="Times New Roman" w:hAnsi="Times New Roman"/>
          <w:b/>
          <w:bCs/>
          <w:sz w:val="22"/>
          <w:szCs w:val="22"/>
        </w:rPr>
        <w:t xml:space="preserve">Commercial Bridge (Dual-Use)</w:t>
      </w:r>
    </w:p>
    <w:p>
      <w:pPr>
        <w:spacing w:after="0" w:before="0"/>
        <w:jc w:val="left"/>
      </w:pPr>
      <w:r>
        <w:rPr>
          <w:rFonts w:ascii="Times New Roman" w:cs="Times New Roman" w:eastAsia="Times New Roman" w:hAnsi="Times New Roman"/>
          <w:sz w:val="22"/>
          <w:szCs w:val="22"/>
        </w:rPr>
        <w:t xml:space="preserve">The same optical detect-track-defeat core addresses a large non-DoD counter-drone market—airports and civil aviation, critical infrastructure (energy, data centers, ports), stadiums and mass events, correctional facilities, and border/homeland security. Immobileyes' AlphaMicron partnership (liquid-crystal manufacturing at scale) and Lighthouse Avionics partnership (sensor fusion and FAA test-site access) provide the manufacturing and integration path to convert the DoD-proven effector into a certifiable commercial product. The full market, competitive, revenue, and go-to-market analysis is provided in the Company Commercialization Report (Volume 4).</w:t>
      </w:r>
    </w:p>
    <w:p>
      <w:pPr>
        <w:pStyle w:val="Heading1"/>
        <w:keepNext/>
      </w:pPr>
      <w:r>
        <w:rPr>
          <w:rFonts w:ascii="Times New Roman" w:cs="Times New Roman" w:eastAsia="Times New Roman" w:hAnsi="Times New Roman"/>
          <w:b/>
          <w:bCs/>
          <w:sz w:val="22"/>
          <w:szCs w:val="22"/>
        </w:rPr>
        <w:t xml:space="preserve">Facilities / Equipment</w:t>
      </w:r>
    </w:p>
    <w:p>
      <w:pPr>
        <w:spacing w:after="0" w:before="0"/>
        <w:jc w:val="left"/>
      </w:pPr>
      <w:r>
        <w:rPr>
          <w:rFonts w:ascii="Times New Roman" w:cs="Times New Roman" w:eastAsia="Times New Roman" w:hAnsi="Times New Roman"/>
          <w:sz w:val="22"/>
          <w:szCs w:val="22"/>
        </w:rPr>
        <w:t xml:space="preserve">Immobileyes operates a 30,000 square-foot, ISO-9001 facility in Kent, OH with seven laboratories, including an electro-optics/laser laboratory (optical benches and multi-wavelength laser sources) and a MIL-SPEC environmental test suite, plus in-house liquid-crystal device fabrication and assembly through co-located AlphaMicron.</w:t>
      </w:r>
    </w:p>
    <w:p>
      <w:pPr>
        <w:keepNext/>
        <w:keepLines/>
        <w:spacing w:after="20" w:before="140"/>
        <w:jc w:val="center"/>
      </w:pPr>
      <w:r>
        <w:drawing>
          <wp:inline distT="0" distB="0" distL="0" distR="0">
            <wp:extent cx="3429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228850"/>
                    </a:xfrm>
                    <a:prstGeom prst="rect">
                      <a:avLst/>
                    </a:prstGeom>
                  </pic:spPr>
                </pic:pic>
              </a:graphicData>
            </a:graphic>
          </wp:inline>
        </w:drawing>
      </w:r>
    </w:p>
    <w:p>
      <w:pPr>
        <w:keepNext/>
        <w:keepLines/>
        <w:spacing w:after="150"/>
        <w:jc w:val="center"/>
      </w:pPr>
      <w:r>
        <w:rPr>
          <w:rFonts w:ascii="Times New Roman" w:cs="Times New Roman" w:eastAsia="Times New Roman" w:hAnsi="Times New Roman"/>
          <w:i/>
          <w:iCs/>
          <w:color w:val="666666"/>
          <w:sz w:val="20"/>
          <w:szCs w:val="20"/>
        </w:rPr>
        <w:t xml:space="preserve">Figure 5.  Immobileyes electro-optics/laser laboratory (Kent, OH)—optical benches and multi-wavelength laser sources for the Phase I test campaign.</w:t>
      </w:r>
    </w:p>
    <w:p>
      <w:pPr>
        <w:keepNext/>
        <w:keepLines/>
        <w:spacing w:after="20" w:before="140"/>
        <w:jc w:val="center"/>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1933575"/>
                    </a:xfrm>
                    <a:prstGeom prst="rect">
                      <a:avLst/>
                    </a:prstGeom>
                  </pic:spPr>
                </pic:pic>
              </a:graphicData>
            </a:graphic>
          </wp:inline>
        </w:drawing>
      </w:r>
    </w:p>
    <w:p>
      <w:pPr>
        <w:keepNext/>
        <w:keepLines/>
        <w:spacing w:after="150"/>
        <w:jc w:val="center"/>
      </w:pPr>
      <w:r>
        <w:rPr>
          <w:rFonts w:ascii="Times New Roman" w:cs="Times New Roman" w:eastAsia="Times New Roman" w:hAnsi="Times New Roman"/>
          <w:i/>
          <w:iCs/>
          <w:color w:val="666666"/>
          <w:sz w:val="20"/>
          <w:szCs w:val="20"/>
        </w:rPr>
        <w:t xml:space="preserve">Figure 6.  In-house manufacturing and assembly capacity (AlphaMicron co-location) supporting Phase II transition.</w:t>
      </w:r>
    </w:p>
    <w:p>
      <w:pPr>
        <w:spacing w:after="0" w:before="0"/>
        <w:jc w:val="left"/>
      </w:pPr>
      <w:r>
        <w:rPr>
          <w:rFonts w:ascii="Times New Roman" w:cs="Times New Roman" w:eastAsia="Times New Roman" w:hAnsi="Times New Roman"/>
          <w:sz w:val="22"/>
          <w:szCs w:val="22"/>
        </w:rPr>
        <w:t xml:space="preserve">The facility maintains NIST SP 800-171 controls (the basis for the topic's projected CMMC Level 2 (Self)), ITAR registration, and OSHA laser-safety compliance—sufficient to execute all Phase I laboratory tasks without new capital equipment. Firm identifiers: UEI KL3MJVGD9XZ9; CAGE 8KQ82; Woman-Owned Small Business (WOSB).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Use or disclosure of proposal data is subject to the restriction on the title page.        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18"/>
        <w:szCs w:val="18"/>
      </w:rPr>
      <w:t xml:space="preserve">Immobileyes   ·   Topic DON26BX03-NP002   ·   Volume 2: Technical Volume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a85131b2d1fca2d86d02fed1fd4f1e8b4be3df.png"/><Relationship Id="rId10" Type="http://schemas.openxmlformats.org/officeDocument/2006/relationships/image" Target="media/b13bef9c471bee1bf52d45d06481129dc1bece56.png"/><Relationship Id="rId11" Type="http://schemas.openxmlformats.org/officeDocument/2006/relationships/image" Target="media/466bc61b2d4e1f09874fa45b1c223085544ae68e.png"/><Relationship Id="rId12" Type="http://schemas.openxmlformats.org/officeDocument/2006/relationships/image" Target="media/1c2279a1fbd28dcf91009d8d8888a7cad674c310.png"/><Relationship Id="rId13" Type="http://schemas.openxmlformats.org/officeDocument/2006/relationships/image" Target="media/6a7e8a3f57732ebdbc810ed7725d0c05e51f3e6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2026-07-21T03:01:05.256Z</dcterms:created>
  <dcterms:modified xsi:type="dcterms:W3CDTF">2026-07-21T03:01:05.269Z</dcterms:modified>
</cp:coreProperties>
</file>

<file path=docProps/custom.xml><?xml version="1.0" encoding="utf-8"?>
<Properties xmlns="http://schemas.openxmlformats.org/officeDocument/2006/custom-properties" xmlns:vt="http://schemas.openxmlformats.org/officeDocument/2006/docPropsVTypes"/>
</file>