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Volume 2 — Technical Volume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{company_name}</w:t>
      </w:r>
      <w:r>
        <w:rPr>
          <w:rFonts w:ascii="Georgia" w:cs="Georgia" w:eastAsia="Georgia" w:hAnsi="Georgia"/>
          <w:sz w:val="24"/>
          <w:szCs w:val="24"/>
        </w:rPr>
        <w:t xml:space="preserve"> — AFWERX SBIR Phase I (CSO)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color w:val="475569"/>
          <w:sz w:val="24"/>
          <w:szCs w:val="24"/>
        </w:rPr>
        <w:t xml:space="preserve">Topic {topic_number}: {topic_title}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color w:val="475569"/>
          <w:sz w:val="24"/>
          <w:szCs w:val="24"/>
        </w:rPr>
        <w:t xml:space="preserve">Period of Performance: 6 months   ·   Requested Funding: $150,000   ·   Distribution: Proprietary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Identification and Significance of the Problem or Opportunity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Unmanned surface vessels (USVs) increasingly operate beyond reliable communications, yet current acoustic-threat detection depends on shore-side processing that introduces prohibitive latency. When a SATCOM link degrades — the norm in contested or high-sea-state environments — classification stalls and the vessel loses the ability to distinguish a biologic from a torpedo. Autonomy is throttled precisely when it matters most.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Consider a representative scenario. A USV on a persistent picket mission detects an ambiguous acoustic signature. Under today’s architecture the raw stream is buffered and, if bandwidth permits, relayed to a shore station; the round trip can exceed several seconds. A torpedo closing at 40 knots covers more than 60 meters in that window. The vessel needs a decision at the tactical edge, in tens of milliseconds, with no assumption of connectivity.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threat space is broad and confusable. Table 1 summarizes the principal acoustic classes and why they are hard to distinguish under compression.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Class</w:t>
            </w:r>
          </w:p>
        </w:tc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Signature character</w:t>
            </w:r>
          </w:p>
        </w:tc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Confusable with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Torpedo (running)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High-RPM screw, rising tonal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High-speed surface craft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Submarine (transiting)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Low-frequency broadband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Distant shipping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Surface combatant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Multi-blade cavitation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Merchant traffic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Biologic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Click trains / whistles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Sonar transients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Ambient / clutter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Sea-state noise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(baseline)</w:t>
            </w:r>
          </w:p>
        </w:tc>
      </w:tr>
    </w:tbl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Table 1: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Acoustic threat taxonomy and principal confusions the classifier must resolve.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Significance: every autonomous hull the Air Force and Navy field inherits this connectivity dependency. Three hard requirements follow and jointly define the problem: the classifier must (i) achieve high balanced accuracy across confusable classes — a mean that hides a torpedo-versus-fast-craft confusion is useless; (ii) return a decision within a worst-case deadline of tens of milliseconds; and (iii) do so within the fielded 2-watt compute budget. Any approach that satisfies two of the three does not transition. The opportunity is timely: the unmanned fleet is scaling while edge-compute modules have matured to run useful inference within single-digit watts. What is missing is the machine-learning-systems work to compress an accurate maritime classifier without destroying it — precisely the gap {company_name} closes.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Phase I Technical Objectives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objectives of Phase I are to establish feasibility of the edge classifier against pre-registered, defense-relevant criteria: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Objective 1 — Curate and augment the hydrophone training corpus with documented provenance and class balance.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Objective 2 — Train and quantize the classifier to 4-bit precision with saliency-guided pruning, holding balanced accuracy above 92%.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Objective 3 — Port the runtime to the target 2-watt edge module and benchmark p99 end-to-end latency and sustained power.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Objective 4 — Validate accuracy, latency, and power against relevant threat scenarios and document results, limitations, and the Phase II plan.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2.1 Technical Approach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edge module ingests raw hydrophone-array streams, performs on-device feature extraction, and runs a quantized CNN whose outputs feed the USV autonomy bus. Figure 1 shows the architecture; Figure 2 the on-device inference pipeline. All inference occurs on-vessel at a measured 2.0-watt draw.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999999"/>
          <w:sz w:val="24"/>
          <w:szCs w:val="24"/>
        </w:rPr>
        <w:t xml:space="preserve">[Image: System architecture: hydrophone array to edge AI module to threat classifier and autonomy bus]</w:t>
      </w:r>
    </w:p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Figure 1: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{company_name} edge acoustic-sensing architecture (on-vessel).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999999"/>
          <w:sz w:val="24"/>
          <w:szCs w:val="24"/>
        </w:rPr>
        <w:t xml:space="preserve">[Image: Inference pipeline: raw audio, STFT, log-mel, quantized CNN, softmax]</w:t>
      </w:r>
    </w:p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Figure 2: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On-device inference pipeline (feature extraction through classification).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Four co-designed components make edge-native classification feasible under the power ceiling. (a) A fixed-point signal front-end (STFT → log-mel, ~40 bins) with array beamforming that yields a bearing estimate alongside the class label, consuming under 15% of the per-frame budget. (b) Quantization-aware training at 4-bit weights / 8-bit activations via a straight-through estimator, holding accuracy within 1.4 points of full precision versus a 9-point drop for post-training quantization.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(c) Saliency-guided structured pruning that scores each channel by its contribution to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inter-class separation</w:t>
      </w:r>
      <w:r>
        <w:rPr>
          <w:rFonts w:ascii="Georgia" w:cs="Georgia" w:eastAsia="Georgia" w:hAnsi="Georgia"/>
          <w:sz w:val="24"/>
          <w:szCs w:val="24"/>
        </w:rPr>
        <w:t xml:space="preserve"> and removes ~70% of parameters while preserving the discriminative bands — {company_name}’s defensible IP (patent pending). (d) A deterministic, statically scheduled runtime that pins inference to reserved cores and disables frequency scaling, guaranteeing a 99th-percentile latency under 100 ms at 2.0 watts.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classifier itself is a compact five-stage residual CNN over the log-mel stream, favoring depth over width and using only operators the target module accelerates natively. Preliminary bench experiments on a representative corpus subset already indicate feasibility (Table 2), and Phase I will formalize and extend them to the full corpus and target hardware.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Metric</w:t>
            </w:r>
          </w:p>
        </w:tc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Full-precision baseline</w:t>
            </w:r>
          </w:p>
        </w:tc>
        <w:tc>
          <w:tcPr>
            <w:tcW w:type="pct" w:w="33.333333333333336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{company_name} 4-bit target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Balanced accuracy (F1)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93.6%</w:t>
            </w:r>
          </w:p>
        </w:tc>
        <w:tc>
          <w:tcPr>
            <w:shd w:color="dcfce7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92%+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Parameters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4.1 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1.2 M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End-to-end latency (p99)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310 ms</w:t>
            </w:r>
          </w:p>
        </w:tc>
        <w:tc>
          <w:tcPr>
            <w:shd w:color="dcfce7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&lt;100 ms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Sustained power draw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11 W</w:t>
            </w:r>
          </w:p>
        </w:tc>
        <w:tc>
          <w:tcPr>
            <w:shd w:color="dcfce7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2.0 W</w:t>
            </w:r>
          </w:p>
        </w:tc>
      </w:tr>
    </w:tbl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Table 2: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Preliminary baseline vs. Phase I target (representative corpus subset).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Phase I Statement of Work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six-month effort is organized into four sequential-but-overlapping tasks. Table 3 gives the schedule and lead; the narrative details scope, methods, effort, and deliverables per task.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Task</w:t>
            </w:r>
          </w:p>
        </w:tc>
        <w:tc>
          <w:tcPr>
            <w:tcW w:type="pct" w:w="2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pct" w:w="2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Months</w:t>
            </w:r>
          </w:p>
        </w:tc>
        <w:tc>
          <w:tcPr>
            <w:tcW w:type="pct" w:w="2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Lead</w:t>
            </w:r>
          </w:p>
        </w:tc>
        <w:tc>
          <w:tcPr>
            <w:tcW w:type="pct" w:w="2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Corpus curation &amp; augmentation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1–2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Nandakumar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Labeled dataset + data card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Quantization-aware training + pruning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2–4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Ellison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Trained 4-bit model + accuracy report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Edge port &amp; latency benchmark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4–5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Reyes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Runtime on target module + benchmark log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Validation &amp; final report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Ellison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Phase I feasibility report</w:t>
            </w:r>
          </w:p>
        </w:tc>
      </w:tr>
    </w:tbl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Table 3: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Phase I statement of work (6-month period of performance).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 — Corpus Curation and Augmentation (Months 1–2)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Assemble a labeled corpus from the DARPA hydrophone release, augmented with sea-state noise, Doppler, and multipath models; balance each class by controlled resampling; document provenance and limitations in a data card. Effort: 0.25 FTE ML engineer. Deliverable: labeled dataset + data card.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 — Quantization-Aware Training and Pruning (Months 2–4)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Train the classifier with 4-bit quantization and saliency-guided pruning in the loop, iterating the saliency threshold; run ablations attributing accuracy retention to each technique. Effort: 0.30 FTE PI + 0.20 FTE ML engineer. Deliverable: trained 4-bit model + accuracy report on a session-disjoint split.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 — Edge Port and Latency Benchmark (Months 4–5)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Port the runtime to the 2-watt module, integrate the deterministic scheduler, and benchmark p99 latency and sustained power under continuous load; apply selective mixed precision to the most confusable layers if required. Effort: 0.40 FTE systems engineer. Deliverable: runtime on target + benchmark log.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 — Validation and Final Report (Months 5–6)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Validate accuracy, latency, and power against relevant threat scenarios from held-out sessions; document results, limitations, and the Phase II plan. Effort: 0.20 FTE PI + support. Deliverable: Phase I feasibility report.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3.1 Evaluation, Data Management, and Risk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Feasibility is judged against pre-registered gates, all of which must pass: balanced F1 ≥ 0.92 on a session-disjoint split; end-to-end p99 latency &lt; 100 ms on target; sustained rail draw ≤ 2.0 W. The full confusion matrix is a deliverable, because the operationally important errors are specific confusions rather than average error. All data derives from the Distribution-A DARPA corpus plus synthetic augmentation — no classified or controlled data — versioned and retained for the period of performance plus three years. The principal risks and mitigations are in Table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Risk</w:t>
            </w:r>
          </w:p>
        </w:tc>
        <w:tc>
          <w:tcPr>
            <w:tcW w:type="pct" w:w="25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Likelihood</w:t>
            </w:r>
          </w:p>
        </w:tc>
        <w:tc>
          <w:tcPr>
            <w:tcW w:type="pct" w:w="25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type="pct" w:w="25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4-bit accuracy shortfall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Mixed-precision fallback on most confusable layers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Latency exceeds budget on target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Reserve cores + static schedule; profile early in Task 3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Corpus class imbalance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Targeted augmentation + class-balanced sampling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Domain shift (sea state)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Sea-state augmentation + robustness ablation</w:t>
            </w:r>
          </w:p>
        </w:tc>
      </w:tr>
    </w:tbl>
    <w:p>
      <w:pPr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Table 4: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Principal Phase I risks, likelihood, impact, and mitigation.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Related Work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Prior edge-audio efforts target keyword spotting at low fidelity and small class counts; none address multi-class maritime threat discrimination under a hard power ceiling. Post-training quantization strands accuracy on confusable classes; magnitude pruning is blind to inter-class saliency; unstructured sparsity does not map efficiently onto edge vector units. {company_name}’s contribution is the coupling of quantization-aware training with a saliency-guided, structured pruning metric specific to acoustic threat discrimination, validated in preliminary bench tests and pursued as protected IP. We build on established foundations — integer-arithmetic inference, straight-through estimators, and margin-based feature attribution — and contribute their integration and specialization to this operational problem.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Relationship with Future Research or Development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Phase I establishes feasibility on the target module. Phase II hardens the module, extends the corpus to fielded recordings, and conducts an at-sea demonstration on a DoD USV against the same gates plus a robustness gate across sea states; we will pursue approximately $1.1M over 24 months. In Phase III we target integration with a USV program of record through the relevant program office. Because the classifier fits the existing compute budget, transition requires only a software integration and accreditation effort — not a hardware program — which materially lowers the transition barrier. Background IP (the saliency-pruning method) is protected under standard SBIR data rights; foreground results are delivered to the Government with rights clearly marked, so transition is not encumbered by ambiguous IP claims.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Commercialization Strategy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{company_name} pursues a dual-use commercialization path in which the Air Force / Navy customer and the commercial market reinforce each other. The Phase I classifier is the wedge: defense USV programs of record in Phase III, then allied navies, then commercial maritime security — port monitoring and offshore-energy protection — where the same edge-native, power-efficient classifier applies with minimal modification.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Customer discovery is an explicit Phase I activity. We have identified an initial defense end-user (a USV program office) and will conduct structured interviews to validate the operational requirement, the accreditation path, and the sustainment model (a delivered, accredited model plus a maintenance and re-training subscription). On the commercial side, the serviceable market is projected to grow from roughly $8M/yr in 2026 to over $60M/yr by 2030; {company_name}’s position is defensible against shore-side incumbents because on-vessel inference is a capability they structurally cannot match. The dual-use revenue path reduces reliance on any single government program and is detailed in the separate Commercialization volume.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Key Personnel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Dr. Mara Ellison (Principal Investigator, 0.30 FTE) — 12 years in low-power machine learning for sensing; author of the quantization research underpinning {company_name}’s core IP. Tomas Reyes (Senior Systems Engineer) — 9 years of embedded real-time systems, two fielded maritime autonomy stacks; owns the edge-port and scheduler tasks. Priya Nandakumar (ML Engineer) — model compression and data augmentation; leads corpus curation and quantization-aware training. The team has collaborated on two prior efforts and shares a common toolchain, de-risking the six-month schedule. Full biographies appear in the Key Personnel supporting document.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Foreign Citizens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{company_name} anticipates no foreign nationals performing on this effort. All key personnel are U.S. citizens. Should any individual requiring disclosure be added, {company_name} will notify the Contracting Officer and provide the required country of origin and visa/work-permit status prior to their participation, consistent with the solicitation instructions.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Facilities and Equipment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{company_name} maintains a 3,200 sq ft engineering facility with a dedicated acoustics bench, a custom anechoic test enclosure, six 2-watt edge-compute development kits, an on-premises GPU training cluster, and a calibrated power-measurement bench for rail-level draw. Data collection leverages an existing partnership with a regional marine research station, providing representative acoustic conditions at no additional Phase I cost. All Phase I work can be performed in-house. Facilities are described in full in the Facilities supporting document.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Subcontractors and Consultants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{company_name} will engage one consultant — an acoustics subject-matter expert (40 hours) — to review the corpus curation methodology and the evaluation protocol, budgeted in the Cost Volume. No subcontractors are proposed for Phase I; all development is performed by {company_name} personnel. The consultant will not have access to limited-rights data beyond what is required for the review.</w:t>
      </w:r>
    </w:p>
    <w:p>
      <w:pPr>
        <w:pageBreakBefore/>
      </w:pPr>
    </w:p>
    <w:p>
      <w:pPr>
        <w:pStyle w:val="Heading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11. Prior, Current, or Pending Support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specific work proposed here — edge-deployable, 4-bit maritime acoustic threat classification under a 2-watt ceiling — has not been submitted to, or funded by, any other Federal agency. No prior, current, or pending support duplicates this effort. {company_name}’s background IP (the saliency-pruning method) was developed with internal funds prior to this proposal. Should any overlapping proposal be submitted during the evaluation period, {company_name} will promptly notify the Contracting Officer as required.</w:t>
      </w:r>
    </w:p>
    <w:p>
      <w:pPr>
        <w:pageBreakBefore/>
      </w:pP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1"/>
        </w:numPr>
      </w:pPr>
      <w:r>
        <w:rPr>
          <w:rFonts w:ascii="Georgia" w:cs="Georgia" w:eastAsia="Georgia" w:hAnsi="Georgia"/>
          <w:sz w:val="24"/>
          <w:szCs w:val="24"/>
        </w:rPr>
        <w:t xml:space="preserve">[1] DARPA Hydrophone Corpus, Distribution A, 2024.</w:t>
      </w:r>
    </w:p>
    <w:p>
      <w:pPr>
        <w:pStyle w:val="ListParagraph"/>
        <w:numPr>
          <w:ilvl w:val="0"/>
          <w:numId w:val="1"/>
        </w:numPr>
      </w:pPr>
      <w:r>
        <w:rPr>
          <w:rFonts w:ascii="Georgia" w:cs="Georgia" w:eastAsia="Georgia" w:hAnsi="Georgia"/>
          <w:sz w:val="24"/>
          <w:szCs w:val="24"/>
        </w:rPr>
        <w:t xml:space="preserve">[2] Ellison, M. et al., "Saliency-Guided Quantization for Acoustic Edge Inference," 2025 (in prep).</w:t>
      </w:r>
    </w:p>
    <w:p>
      <w:pPr>
        <w:pStyle w:val="ListParagraph"/>
        <w:numPr>
          <w:ilvl w:val="0"/>
          <w:numId w:val="1"/>
        </w:numPr>
      </w:pPr>
      <w:r>
        <w:rPr>
          <w:rFonts w:ascii="Georgia" w:cs="Georgia" w:eastAsia="Georgia" w:hAnsi="Georgia"/>
          <w:sz w:val="24"/>
          <w:szCs w:val="24"/>
        </w:rPr>
        <w:t xml:space="preserve">[3] Reyes, T., "Deterministic Scheduling for Sub-Watt Inference," Embedded ML Workshop, 2024.</w:t>
      </w:r>
    </w:p>
    <w:p>
      <w:pPr>
        <w:pStyle w:val="ListParagraph"/>
        <w:numPr>
          <w:ilvl w:val="0"/>
          <w:numId w:val="1"/>
        </w:numPr>
      </w:pPr>
      <w:r>
        <w:rPr>
          <w:rFonts w:ascii="Georgia" w:cs="Georgia" w:eastAsia="Georgia" w:hAnsi="Georgia"/>
          <w:sz w:val="24"/>
          <w:szCs w:val="24"/>
        </w:rPr>
        <w:t xml:space="preserve">[4] Jacob, B. et al., "Quantization and Training of Neural Networks for Efficient Integer-Arithmetic Inference," 2018.</w:t>
      </w:r>
    </w:p>
    <w:p>
      <w:pPr>
        <w:pStyle w:val="ListParagraph"/>
        <w:numPr>
          <w:ilvl w:val="0"/>
          <w:numId w:val="1"/>
        </w:numPr>
      </w:pPr>
      <w:r>
        <w:rPr>
          <w:rFonts w:ascii="Georgia" w:cs="Georgia" w:eastAsia="Georgia" w:hAnsi="Georgia"/>
          <w:sz w:val="24"/>
          <w:szCs w:val="24"/>
        </w:rPr>
        <w:t xml:space="preserve">[5] Molchanov, P. et al., "Importance Estimation for Neural Network Pruning," 2019.</w:t>
      </w:r>
    </w:p>
    <w:p>
      <w:pPr>
        <w:pStyle w:val="Heading3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Compliance Cross-Reference</w:t>
      </w:r>
    </w:p>
    <w:p>
      <w:pPr>
        <w:spacing w:after="0" w:before="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This volume addresses each AFWERX/DoD Phase I required element as below; the full compliance matrix is maintained in the proposal workspace and advances to “satisfied” as each section is accepted and locked.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Required element</w:t>
            </w:r>
          </w:p>
        </w:tc>
        <w:tc>
          <w:tcPr>
            <w:tcW w:type="pct" w:w="50%"/>
            <w:shd w:color="1e293b" w:val="solid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Section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Problem/opportunity significance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Technical objectives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Statement of work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Related work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Future R&amp;D / transition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Commercialization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Key personnel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Foreign citizens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Facilities/equipment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Subcontractors/consultants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Prior/current/pending support</w:t>
            </w:r>
          </w:p>
        </w:tc>
        <w:tc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AFWERX SBIR Phase I · Topic N251-042 · Proprietary · Page  of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sz w:val="18"/>
        <w:szCs w:val="18"/>
      </w:rPr>
      <w:t xml:space="preserve">Aerivio Systems — Technical Volume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7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2026-07-16T23:38:02.905Z</dcterms:created>
  <dcterms:modified xsi:type="dcterms:W3CDTF">2026-07-16T23:38:02.906Z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