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keepLines/>
        <w:spacing w:after="140" w:before="140"/>
        <w:jc w:val="center"/>
      </w:pPr>
      <w:r>
        <w:drawing>
          <wp:inline distT="0" distB="0" distL="0" distR="0">
            <wp:extent cx="4457700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Abstract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(Public, non-confidential — excluded from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7-page limit.)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an Ohio pre-seed venture that 3D-prints the formwork for residential concrete foundations. By printing the foundation wall shape directly — with common, locally sourced concrete rather than proprietary mortar — Foundation eliminates the traditional build-strip-repair-clean formwork cycle, cutting foundation formwork labor from ~336 hours to ~25 and total formwork cost by roughly 47% on a typical 2,100 sq ft Ohio home. TVSF funds a beta prototype and third-party performance validation, de-risking a $23.7B U.S. formwork market and advancing Ohio's housing-affordability and advanced-manufacturing agenda.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  Market Opportunity (TAM)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2026 U.S. housing market represents a $410B TAM against a structural ~500,000-home supply/demand gap; "locked-in" 6% mortgages push builders toward new-build "buy-down" economics where every point of cost removed matters.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targets the formwork line item of single-family new builds — a $23.7B SAM — with an initial serviceable-obtainable $27.4M SOM in its regional beachhead.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Because foundation 3D printing lowers total home cost ~4% while removing the industry's most labor-intensive, waste-prone step, it converts a cost center into a competitive advantage for builders operating on thin margins.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Market layer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Size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Definition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$410B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U.S. housing market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$23.7B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Formwork in single-family new builds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SOM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$27.4M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Near-term regional beachhead</w:t>
            </w:r>
          </w:p>
        </w:tc>
      </w:tr>
    </w:tbl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#2  Overview of the Technology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's system prints a foundation's wall geometry directly: a build plan is downloaded to the printer, concrete is pumped into the machine, and the nozzle lays concrete one layer at a time. A printing trolley moves laterally and vertically while the whole machine travels along runway rails; the system is electrically powered.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Two differentiators define it: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It uses common, locally sourced concrete — not an expensive proprietary mortar.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An external gate controls material flow at the nozzle, enabling clean starts/stops and consistent layers.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net effect eliminates the build-strip-repair-clean cycle, saving ~311 labor hours per home and cutting formwork production cost ~47–50% and material cost ~60–65% versus mortar-based concrete printers.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#3  Development Stage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technology is at TRL 6–7: core subsystems (concrete delivery, nozzle gate, gantry motion) are demonstrated and the team is building a beta prototype for a relevant application environment. MVP customer requirements are explicit — rapid deployment, reduced labor, structural reliability, and use of locally sourced materials.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TVSF's role is to fund the beta prototype build and an independent third-party performance validation, moving the system from demonstrated subsystems (TRL 6–7) toward a field-validated first printer (TRL 7–8).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#4  Commercialization Strategy (SAM)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Entry is proof-based: local, fragmented buyers whose barriers are trust, portability, and cost, and whose workflow already relies on subcontractors.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sells into that workflow as "printing as a service" to general contractors and developers, priced per cubic yard of concrete, and partners with local schools and builders for demos and workforce pipeline.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motion is demos/tours → paid pilot → repeat jobs, using non-dilutive TVSF + SBIR Phase I to reach a validated pilot before scaling into the $23.7B formwork SAM.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#5  Intellectual Property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's approach is anchored by two issued U.S. patents: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11,273,574 — "Scalable Three-Dimensional Printing Apparatus" (the scalable gantry/print architecture).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10,307,959 B2 — "Concrete Delivery System" (the concrete-delivery and nozzle-control mechanism).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Together they protect the two core differentiators — the rail-scalable printer and the externally gated, local-concrete delivery path. Freedom-to-operate and a continuation strategy around the nozzle-gate control are part of the funded work.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#6  Business Model &amp; Pro-forma P&amp;L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forms a joint venture per project, programs and prepares the print, and charges per cubic yard of concrete placed, at ≈$20,000 total price per job with a contribution margin of ≈37.5%. Printing-as-a-service keeps capital with Foundation and lowers the builder's barrier to adoption.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Pro-forma (per job, illustrative)</w:t>
            </w:r>
          </w:p>
        </w:tc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Value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Price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margin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≈37.5%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$7,500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a $27.4M near-term SOM, a modest fleet of printers running repeat jobs reaches sustainable unit economics quickly; gross margin expands as printer utilization rises.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#7  Current Financial Stage &amp; Fundraising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pre-seed. The capital plan pairs $200k TVSF and $150k SBIR Phase I (non-dilutive, directed at R&amp;D and the beta prototype) with a targeted $1.8M+ equity round.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Equity investment is critical to scaling beyond the first printer; the non-dilutive grants exist to prove the market and de-risk the technology first, so the equity raise is priced on validated performance rather than on a concept. TVSF is the near-term unlock for the validated beta prototype that makes the round investable.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#8  Team / Management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Owns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Kate Ulepic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Executive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Strategy &amp; fundraising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Conor Atkins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Operations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Operations &amp; print execution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Connor Casey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Financial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Finance &amp; capital plan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Will Curley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Technology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Printer &amp; delivery technology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team has identified and is actively recruiting for its known gaps — legal advisor, fundraiser, technician, and homebuilder partner — and is mentored through the Entrepreneurs' Center (Paul Jackson, VP Strategic Programs).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#9  Competitive Landscape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Traditional Formwork, Vitruvian, and COBOD International,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wins on the dimensions that decide adoption: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Dimension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Foundation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Traditional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Vitruvian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COBOD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 (days)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Deployment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Material accessibility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Project costs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Scalability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Repeatable workflow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the only option that combines local-material accessibility and lowest project cost with rapid, scalable, repeatable deployment — traditional formwork is slow and labor-heavy, while other printers depend on costly proprietary mortar.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#10  Economic Impact (Ohio)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Ohio-based and Ohio-building. It lowers the cost of new single-family homes in a state facing a supply gap, supports builder margins, and creates skilled advanced-manufacturing and print-operator jobs.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By partnering with local schools and builders for demos and training, it seeds a regional workforce pipeline and keeps concrete spend with local suppliers rather than proprietary-mortar vendors — compounding the in-state economic return of each job.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#11  Project Plan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Milestones (name · description · success criteria · timeframe · approximate funds):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Milestone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Success criteria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Timeframe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Funds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Hire core team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Technician/operator roles filled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1–2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R&amp;D with Converge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Validated printer + delivery/gate specs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3–4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$190,000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Beta prototype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Prints a test wall to spec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6–8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(in R&amp;D)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Third-party validation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Passing structural + throughput report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9–14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First printer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Pilot-ready production unit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11–14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$300,000</w:t>
            </w:r>
          </w:p>
        </w:tc>
      </w:tr>
    </w:tbl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#12  Budget by Spend Type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 request: $200,000 of OTF Project Funds.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Spend type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OTF Project Funds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Personnel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Founding-team time + first technical hire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Equipment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$120,000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COTS + specialized printer/delivery parts (beta prototype)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Supplies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Concrete + consumables for prototype tests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Purchased Services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Converge development services + software partner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TOTAL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Narrative: the bulk of the grant funds Equipment (COTS + specialized parts to build the beta prototype with Converge) and Purchased Services (Converge engineering + software partner); Supplies cover concrete for prototype testing; Personnel covers founding-team time and the first technical hire.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Foundation — TVSF Application (confidential)       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6"/>
        <w:szCs w:val="16"/>
      </w:rPr>
      <w:t xml:space="preserve"> of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Times New Roman" w:cs="Times New Roman" w:eastAsia="Times New Roman" w:hAnsi="Times New Roman"/>
        <w:sz w:val="18"/>
        <w:szCs w:val="18"/>
      </w:rPr>
      <w:t xml:space="preserve">Foundation   ·   Ohio Third Frontier TVSF (Round 45)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22528255444225561c1e1f13e4e6210cc92d7b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2026-08-20T14:58:04.332Z</dcterms:created>
  <dcterms:modified xsi:type="dcterms:W3CDTF">2026-08-20T14:58:04.332Z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