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Volume 2 — Technical Volume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{company_name}</w:t>
      </w:r>
      <w:r>
        <w:rPr>
          <w:rFonts w:ascii="Georgia" w:cs="Georgia" w:eastAsia="Georgia" w:hAnsi="Georgia"/>
          <w:sz w:val="24"/>
          <w:szCs w:val="24"/>
        </w:rPr>
        <w:t xml:space="preserve"> — AFWERX SBIR Phase I (CSO)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Topic {topic_number}: {topic_title}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color w:val="475569"/>
          <w:sz w:val="24"/>
          <w:szCs w:val="24"/>
        </w:rPr>
        <w:t xml:space="preserve">Period of Performance: 6 months   ·   Requested Funding: $150,000   ·   Distribution: Proprietary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1. Identification and Significance of the Problem or Opportunity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Unmanned surface vessels (USVs) increasingly operate beyond reliable communications, yet current acoustic-threat detection depends on shore-side processing that introduces prohibitive latency. When a SATCOM link degrades — the norm in contested or high-sea-state environments — classification stalls and the vessel loses the ability to distinguish a biologic from a torpedo. Autonomy is throttled precisely when it matters most.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Consider a representative scenario. A USV on a persistent picket mission detects an ambiguous acoustic signature. Under today’s architecture the raw stream is buffered and, if bandwidth permits, relayed to a shore station; the round trip can exceed several seconds. A torpedo closing at 40 knots covers more than 60 meters in that window. The vessel needs a decision at the tactical edge, in tens of milliseconds, with no assumption of connectivity.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threat space is broad and confusable. Table 1 summarizes the principal acoustic classes and why they are hard to distinguish under compression.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Class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Signature character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Confusable with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Torpedo (running)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High-RPM screw, rising tonal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High-speed surface craft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Submarine (transiting)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Low-frequency broadband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Distant shipping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Surface combatant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Multi-blade cavitation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Merchant traffic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Biologic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Click trains / whistles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Sonar transients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Ambient / clutter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noise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(baseline)</w:t>
            </w:r>
          </w:p>
        </w:tc>
      </w:tr>
    </w:tbl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Acoustic threat taxonomy and principal confusions the classifier must resolve.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Significance: every autonomous hull the Air Force and Navy field inherits this connectivity dependency. Three hard requirements follow and jointly define the problem: the classifier must (i) achieve high balanced accuracy across confusable classes — a mean that hides a torpedo-versus-fast-craft confusion is useless; (ii) return a decision within a worst-case deadline of tens of milliseconds; and (iii) do so within the fielded 2-watt compute budget. Any approach that satisfies two of the three does not transition. The opportunity is timely: the unmanned fleet is scaling while edge-compute modules have matured to run useful inference within single-digit watts. What is missing is the machine-learning-systems work to compress an accurate maritime classifier without destroying it — precisely the gap {company_name} closes.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 Phase I Technical Objectives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objectives of Phase I are to establish feasibility of the edge classifier against pre-registered, defense-relevant criteria: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1 — Curate and augment the hydrophone training corpus with documented provenance and class balance.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2 — Train and quantize the classifier to 4-bit precision with saliency-guided pruning, holding balanced accuracy above 92%.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3 — Port the runtime to the target 2-watt edge module and benchmark p99 end-to-end latency and sustained power.</w:t>
      </w:r>
    </w:p>
    <w:p>
      <w:pPr>
        <w:pStyle w:val="ListParagraph"/>
        <w:numPr>
          <w:ilvl w:val="0"/>
          <w:numId w:val="2"/>
        </w:numPr>
      </w:pPr>
      <w:r>
        <w:rPr>
          <w:rFonts w:ascii="Georgia" w:cs="Georgia" w:eastAsia="Georgia" w:hAnsi="Georgia"/>
          <w:sz w:val="24"/>
          <w:szCs w:val="24"/>
        </w:rPr>
        <w:t xml:space="preserve">Objective 4 — Validate accuracy, latency, and power against relevant threat scenarios and document results, limitations, and the Phase II plan.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2.1 Technical Approach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edge module ingests raw hydrophone-array streams, performs on-device feature extraction, and runs a quantized CNN whose outputs feed the USV autonomy bus. Figure 1 shows the architecture; Figure 2 the on-device inference pipeline. All inference occurs on-vessel at a measured 2.0-watt draw.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4191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1: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{company_name} edge acoustic-sensing architecture (on-vessel).</w:t>
      </w:r>
    </w:p>
    <w:p>
      <w:pPr>
        <w:keepNext/>
        <w:keepLines/>
        <w:spacing w:after="40" w:before="60"/>
        <w:jc w:val="center"/>
      </w:pPr>
      <w:r>
        <w:drawing>
          <wp:inline distT="0" distB="0" distL="0" distR="0">
            <wp:extent cx="41910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Figure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On-device inference pipeline (feature extraction through classification).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Four co-designed components make edge-native classification feasible under the power ceiling. (a) A fixed-point signal front-end (STFT → log-mel, ~40 bins) with array beamforming that yields a bearing estimate alongside the class label, consuming under 15% of the per-frame budget. (b) Quantization-aware training at 4-bit weights / 8-bit activations via a straight-through estimator, holding accuracy within 1.4 points of full precision versus a 9-point drop for post-training quantization.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(c) Saliency-guided structured pruning that scores each channel by its contribution to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inter-class separation</w:t>
      </w:r>
      <w:r>
        <w:rPr>
          <w:rFonts w:ascii="Georgia" w:cs="Georgia" w:eastAsia="Georgia" w:hAnsi="Georgia"/>
          <w:sz w:val="24"/>
          <w:szCs w:val="24"/>
        </w:rPr>
        <w:t xml:space="preserve"> and removes ~70% of parameters while preserving the discriminative bands — {company_name}’s defensible IP (patent pending). (d) A deterministic, statically scheduled runtime that pins inference to reserved cores and disables frequency scaling, guaranteeing a 99th-percentile latency under 100 ms at 2.0 watts.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classifier itself is a compact five-stage residual CNN over the log-mel stream, favoring depth over width and using only operators the target module accelerates natively. Preliminary bench experiments on a representative corpus subset already indicate feasibility (Table 2), and Phase I will formalize and extend them to the full corpus and target hardware.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Full-precision baseline</w:t>
            </w:r>
          </w:p>
        </w:tc>
        <w:tc>
          <w:tcPr>
            <w:tcW w:type="pct" w:w="33.333333333333336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{company_name} 4-bit target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Balanced accuracy (F1)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93.6%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92%+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Parameters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4.1 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1.2 M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End-to-end latency (p99)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310 ms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&lt;100 ms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Sustained power draw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 W</w:t>
            </w:r>
          </w:p>
        </w:tc>
        <w:tc>
          <w:tcPr>
            <w:shd w:color="dcfce7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2.0 W</w:t>
            </w:r>
          </w:p>
        </w:tc>
      </w:tr>
    </w:tbl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2: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Preliminary baseline vs. Phase I target (representative corpus subset).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 Phase I Statement of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six-month effort is organized into four sequential-but-overlapping tasks. Table 3 gives the schedule and lead; the narrative details scope, methods, effort, and deliverables per task.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Task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Months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Lead</w:t>
            </w:r>
          </w:p>
        </w:tc>
        <w:tc>
          <w:tcPr>
            <w:tcW w:type="pct" w:w="2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Deliverable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curation &amp; augmentation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1–2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Nandakumar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Labeled dataset + data card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Quantization-aware training + pruning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2–4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Trained 4-bit model + accuracy report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Edge port &amp; latency benchmark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Reyes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Runtime on target module + benchmark log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Validation &amp; final report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5–6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Ellison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Phase I feasibility report</w:t>
            </w:r>
          </w:p>
        </w:tc>
      </w:tr>
    </w:tbl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3: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Phase I statement of work (6-month period of performance).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1 — Corpus Curation and Augmentation (Months 1–2)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Assemble a labeled corpus from the DARPA hydrophone release, augmented with sea-state noise, Doppler, and multipath models; balance each class by controlled resampling; document provenance and limitations in a data card. Effort: 0.25 FTE ML engineer. Deliverable: labeled dataset + data card.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2 — Quantization-Aware Training and Pruning (Months 2–4)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Train the classifier with 4-bit quantization and saliency-guided pruning in the loop, iterating the saliency threshold; run ablations attributing accuracy retention to each technique. Effort: 0.30 FTE PI + 0.20 FTE ML engineer. Deliverable: trained 4-bit model + accuracy report on a session-disjoint split.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3 — Edge Port and Latency Benchmark (Months 4–5)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Port the runtime to the 2-watt module, integrate the deterministic scheduler, and benchmark p99 latency and sustained power under continuous load; apply selective mixed precision to the most confusable layers if required. Effort: 0.40 FTE systems engineer. Deliverable: runtime on target + benchmark log.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Task 4 — Validation and Final Report (Months 5–6)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Validate accuracy, latency, and power against relevant threat scenarios from held-out sessions; document results, limitations, and the Phase II plan. Effort: 0.20 FTE PI + support. Deliverable: Phase I feasibility report.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3.1 Evaluation, Data Management, and Risk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Feasibility is judged against pre-registered gates, all of which must pass: balanced F1 ≥ 0.92 on a session-disjoint split; end-to-end p99 latency &lt; 100 ms on target; sustained rail draw ≤ 2.0 W. The full confusion matrix is a deliverable, because the operationally important errors are specific confusions rather than average error. All data derives from the Distribution-A DARPA corpus plus synthetic augmentation — no classified or controlled data — versioned and retained for the period of performance plus three years. The principal risks and mitigations are in Table 4.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Risk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Likelihood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Impact</w:t>
            </w:r>
          </w:p>
        </w:tc>
        <w:tc>
          <w:tcPr>
            <w:tcW w:type="pct" w:w="25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Mitigation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4-bit accuracy shortfall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Mixed-precision fallback on most confusable layers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Latency exceeds budget on target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Low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High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Reserve cores + static schedule; profile early in Task 3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Corpus class imbalance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Targeted augmentation + class-balanced sampling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Domain shift (sea state)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Medium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Sea-state augmentation + robustness ablation</w:t>
            </w:r>
          </w:p>
        </w:tc>
      </w:tr>
    </w:tbl>
    <w:p>
      <w:pPr>
        <w:keepNext/>
        <w:keepLines/>
        <w:jc w:val="center"/>
      </w:pPr>
      <w:r>
        <w:rPr>
          <w:rFonts w:ascii="Georgia" w:cs="Georgia" w:eastAsia="Georgia" w:hAnsi="Georgia"/>
          <w:b/>
          <w:bCs/>
          <w:i/>
          <w:iCs/>
          <w:sz w:val="24"/>
          <w:szCs w:val="24"/>
        </w:rPr>
        <w:t xml:space="preserve">Table 4: </w:t>
      </w:r>
      <w:r>
        <w:rPr>
          <w:rFonts w:ascii="Georgia" w:cs="Georgia" w:eastAsia="Georgia" w:hAnsi="Georgia"/>
          <w:i/>
          <w:iCs/>
          <w:sz w:val="24"/>
          <w:szCs w:val="24"/>
        </w:rPr>
        <w:t xml:space="preserve">Principal Phase I risks, likelihood, impact, and mitigation.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4. Related Work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Prior edge-audio efforts target keyword spotting at low fidelity and small class counts; none address multi-class maritime threat discrimination under a hard power ceiling. Post-training quantization strands accuracy on confusable classes; magnitude pruning is blind to inter-class saliency; unstructured sparsity does not map efficiently onto edge vector units. {company_name}’s contribution is the coupling of quantization-aware training with a saliency-guided, structured pruning metric specific to acoustic threat discrimination, validated in preliminary bench tests and pursued as protected IP. We build on established foundations — integer-arithmetic inference, straight-through estimators, and margin-based feature attribution — and contribute their integration and specialization to this operational problem.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5. Relationship with Future Research or Development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Phase I establishes feasibility on the target module. Phase II hardens the module, extends the corpus to fielded recordings, and conducts an at-sea demonstration on a DoD USV against the same gates plus a robustness gate across sea states; we will pursue approximately $1.1M over 24 months. In Phase III we target integration with a USV program of record through the relevant program office. Because the classifier fits the existing compute budget, transition requires only a software integration and accreditation effort — not a hardware program — which materially lowers the transition barrier. Background IP (the saliency-pruning method) is protected under standard SBIR data rights; foreground results are delivered to the Government with rights clearly marked, so transition is not encumbered by ambiguous IP claims.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6. Commercialization Strategy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pursues a dual-use commercialization path in which the Air Force / Navy customer and the commercial market reinforce each other. The Phase I classifier is the wedge: defense USV programs of record in Phase III, then allied navies, then commercial maritime security — port monitoring and offshore-energy protection — where the same edge-native, power-efficient classifier applies with minimal modification.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Customer discovery is an explicit Phase I activity. We have identified an initial defense end-user (a USV program office) and will conduct structured interviews to validate the operational requirement, the accreditation path, and the sustainment model (a delivered, accredited model plus a maintenance and re-training subscription). On the commercial side, the serviceable market is projected to grow from roughly $8M/yr in 2026 to over $60M/yr by 2030; {company_name}’s position is defensible against shore-side incumbents because on-vessel inference is a capability they structurally cannot match. The dual-use revenue path reduces reliance on any single government program and is detailed in the separate Commercialization volume.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7. Key Personnel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Dr. Mara Ellison (Principal Investigator, 0.30 FTE) — 12 years in low-power machine learning for sensing; author of the quantization research underpinning {company_name}’s core IP. Tomas Reyes (Senior Systems Engineer) — 9 years of embedded real-time systems, two fielded maritime autonomy stacks; owns the edge-port and scheduler tasks. Priya Nandakumar (ML Engineer) — model compression and data augmentation; leads corpus curation and quantization-aware training. The team has collaborated on two prior efforts and shares a common toolchain, de-risking the six-month schedule. Full biographies appear in the Key Personnel supporting document.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8. Foreign Citizens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anticipates no foreign nationals performing on this effort. All key personnel are U.S. citizens. Should any individual requiring disclosure be added, {company_name} will notify the Contracting Officer and provide the required country of origin and visa/work-permit status prior to their participation, consistent with the solicitation instructions.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9. Facilities and Equipment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maintains a 3,200 sq ft engineering facility with a dedicated acoustics bench, a custom anechoic test enclosure, six 2-watt edge-compute development kits, an on-premises GPU training cluster, and a calibrated power-measurement bench for rail-level draw. Data collection leverages an existing partnership with a regional marine research station, providing representative acoustic conditions at no additional Phase I cost. All Phase I work can be performed in-house. Facilities are described in full in the Facilities supporting document.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10. Subcontractors and Consultants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{company_name} will engage one consultant — an acoustics subject-matter expert (40 hours) — to review the corpus curation methodology and the evaluation protocol, budgeted in the Cost Volume. No subcontractors are proposed for Phase I; all development is performed by {company_name} personnel. The consultant will not have access to limited-rights data beyond what is required for the review.</w:t>
      </w:r>
    </w:p>
    <w:p>
      <w:pPr>
        <w:pStyle w:val="Heading2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11. Prior, Current, or Pending Support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The specific work proposed here — edge-deployable, 4-bit maritime acoustic threat classification under a 2-watt ceiling — has not been submitted to, or funded by, any other Federal agency. No prior, current, or pending support duplicates this effort. {company_name}’s background IP (the saliency-pruning method) was developed with internal funds prior to this proposal. Should any overlapping proposal be submitted during the evaluation period, {company_name} will promptly notify the Contracting Officer as required.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[1] DARPA Hydrophone Corpus, Distribution A,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[2] Ellison, M. et al., "Saliency-Guided Quantization for Acoustic Edge Inference," 2025 (in prep).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[3] Reyes, T., "Deterministic Scheduling for Sub-Watt Inference," Embedded ML Workshop, 2024.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[4] Jacob, B. et al., "Quantization and Training of Neural Networks for Efficient Integer-Arithmetic Inference," 2018.</w:t>
      </w:r>
    </w:p>
    <w:p>
      <w:pPr>
        <w:pStyle w:val="ListParagraph"/>
        <w:numPr>
          <w:ilvl w:val="0"/>
          <w:numId w:val="1"/>
        </w:numPr>
      </w:pPr>
      <w:r>
        <w:rPr>
          <w:rFonts w:ascii="Georgia" w:cs="Georgia" w:eastAsia="Georgia" w:hAnsi="Georgia"/>
          <w:sz w:val="24"/>
          <w:szCs w:val="24"/>
        </w:rPr>
        <w:t xml:space="preserve">[5] Molchanov, P. et al., "Importance Estimation for Neural Network Pruning," 2019.</w:t>
      </w:r>
    </w:p>
    <w:p>
      <w:pPr>
        <w:pStyle w:val="Heading3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Compliance Cross-Reference</w:t>
      </w:r>
    </w:p>
    <w:p>
      <w:pPr>
        <w:spacing w:after="0" w:before="0"/>
        <w:jc w:val="left"/>
      </w:pPr>
      <w:r>
        <w:rPr>
          <w:rFonts w:ascii="Georgia" w:cs="Georgia" w:eastAsia="Georgia" w:hAnsi="Georgia"/>
          <w:sz w:val="24"/>
          <w:szCs w:val="24"/>
        </w:rPr>
        <w:t xml:space="preserve">This volume addresses each AFWERX/DoD Phase I required element as below; the full compliance matrix is maintained in the proposal workspace and advances to “satisfied” as each section is accepted and locked.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Required element</w:t>
            </w:r>
          </w:p>
        </w:tc>
        <w:tc>
          <w:tcPr>
            <w:tcW w:type="pct" w:w="50%"/>
            <w:shd w:color="1e293b" w:val="solid"/>
          </w:tcPr>
          <w:p>
            <w:pPr>
              <w:jc w:val="left"/>
            </w:pPr>
            <w:r>
              <w:rPr>
                <w:rFonts w:ascii="Georgia" w:cs="Georgia" w:eastAsia="Georgia" w:hAnsi="Georgia"/>
                <w:b/>
                <w:bCs/>
                <w:sz w:val="24"/>
                <w:szCs w:val="24"/>
              </w:rPr>
              <w:t xml:space="preserve">Section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Problem/opportunity significance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Technical objectives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Statement of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Related work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Future R&amp;D / transition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Commercialization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Key personnel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Foreign citizens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Facilities/equipment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Subcontractors/consultants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Prior/current/pending support</w:t>
            </w:r>
          </w:p>
        </w:tc>
        <w:tc>
          <w:p>
            <w:pPr>
              <w:jc w:val="left"/>
            </w:pPr>
            <w:r>
              <w:rPr>
                <w:rFonts w:ascii="Georgia" w:cs="Georgia" w:eastAsia="Georgia" w:hAnsi="Georgia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1"/>
        <w:szCs w:val="21"/>
      </w:rPr>
      <w:t xml:space="preserve">AFWERX SBIR Phase I · Topic N251-042 · Proprietary · Page </w:t>
    </w:r>
    <w:r>
      <w:rPr>
        <w:rFonts w:ascii="Arial" w:cs="Arial" w:eastAsia="Arial" w:hAnsi="Arial"/>
        <w:sz w:val="21"/>
        <w:szCs w:val="21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21"/>
        <w:szCs w:val="21"/>
      </w:rPr>
      <w:t xml:space="preserve"> of </w:t>
    </w:r>
    <w:r>
      <w:rPr>
        <w:rFonts w:ascii="Arial" w:cs="Arial" w:eastAsia="Arial" w:hAnsi="Arial"/>
        <w:sz w:val="21"/>
        <w:szCs w:val="21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sz w:val="21"/>
        <w:szCs w:val="21"/>
      </w:rPr>
      <w:t xml:space="preserve">Aerivio Systems — Technical Volume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7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e0d1b35d22af11d05f36298e6011dc94caf079d.png"/><Relationship Id="rId10" Type="http://schemas.openxmlformats.org/officeDocument/2006/relationships/image" Target="media/47ce400c7e583ce7432cb5a1fa3646b36cab04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2026-07-18T01:20:09.346Z</dcterms:created>
  <dcterms:modified xsi:type="dcterms:W3CDTF">2026-07-18T01:20:09.347Z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