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1.0  Description of Proposed Phase I Technical Effort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This proposal includes data that shall not be disclosed outside the Government and shall not be duplicated, used, or disclosed—in wh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ole or in part—for any purpose other than to evaluate this proposal (SBIR data rights).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Problem and Significance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First-person-view (FPV) fiber-optic drones have become one of the most difficult unmanned-air-system (UAS) threats on the modern battlefield. Unlike conventional FPV systems, these aircraft require no radio-frequency (RF) link, are immune to RF jamming, and operate in GPS-denied environments—relying almost entirely on continuous electro-optical (EO) imagery for terminal guidance. Fielded at scale in Ukraine and by non-state actors, they defeat the RF-centric and GPS-centric counter-UAS (C-UAS) systems the Navy fields today.</w:t>
      </w:r>
    </w:p>
    <w:p>
      <w:pPr>
        <w:keepNext/>
        <w:keepLines/>
        <w:spacing w:after="40" w:before="60"/>
        <w:jc w:val="center"/>
      </w:pPr>
      <w:r>
        <w:drawing>
          <wp:inline distT="0" distB="0" distL="0" distR="0">
            <wp:extent cx="2381250" cy="2400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20"/>
          <w:szCs w:val="20"/>
        </w:rPr>
        <w:t xml:space="preserve">Figure 1.  Fiber-optic FPV drones—no RF link, immune to jamming—now proliferating in current conflicts.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operational consequence is stark. RF-based detection and defeat (jammers, spoofers, high-power microwave) have no emission to exploit; GPS denial has no effect on a vehicle flown by wire over fiber; and kinetic interceptors are cost-prohibitive and collaterally constrained against a sub-$1,000 airframe. A single fiber drone can be produced for a few hundred dollars, yet forces the defender to expend a far costlier effect—an unfavorable cost-exchange and magazine-depth problem that is most acute at the exact moment of a saturating swarm attack against a Naval installation, aircraft on the ramp, or a ship in the littorals.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Existing C-UAS remains optimized for RF disruption or kinetic defeat. Very little work addresses non-kinetic optical defeat of EO-guided fiber drones during the terminal attack—precisely the gap DON26BX03-NP002 targets: a novel, scalable capability to detect, track, identify, and neutralize single and swarm UAS in complex operational environments.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Technical Innovation — GHOST (STORM + DEXTER)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Immobileyes proposes GHOST (Guided Hostile Optical Sensor-hijacking Technology), a software-defined optical counter-UAS architecture integrating two mature Immobileyes/AlphaMicron technologies: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STORM — AI-enabled EO/IR detection, identification, and tracking with a graduated escalation framework (Warn/Deter → Dazzle/Disrupt → Deny/Damage) and a human-in-the-loop selecting the response level. STORM is detection-agnostic (MOSA): it accepts EO/IR, radar, RF/EW, or TSPI cueing.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DEXTER (Dynamic Electronic Cross-connect for Tactical Energy Routing) — a low-SWaP adaptive liquid-crystal polarization-grating beam router (AlphaMicron) that electronically routes, splits, combines, and redirects laser energy with no moving parts, switching a single beam from one to tens or hundreds of outputs in microseconds.</w:t>
      </w:r>
    </w:p>
    <w:p>
      <w:pPr>
        <w:keepNext/>
        <w:keepLines/>
        <w:spacing w:after="40" w:before="60"/>
        <w:jc w:val="center"/>
      </w:pPr>
      <w:r>
        <w:drawing>
          <wp:inline distT="0" distB="0" distL="0" distR="0">
            <wp:extent cx="4457700" cy="1190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20"/>
          <w:szCs w:val="20"/>
        </w:rPr>
        <w:t xml:space="preserve">Figure 2.  STORM graduated-escalation kill chain (Find→Fix→Track→Target→Engage→Designate); the multi-beam "shotgun" architecture engages swarms simultaneously.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Optical Seeker-Confusion Mechanism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effort extends the Navy's patented seeker-confusion principle (U.S. Patents 8,305,252 and 8,212,709). The Navy demonstrated that a continuous-wave optical source placed within an imaging seeker's field of view generates a localized high-intensity region that the tracking algorithm interprets as a feature or target; the tracker's centroid or feature-match then migrates toward the induced source, steering the vehicle away from the protected asset. Modern EO-guided FPV fiber drones rely on the same class of feature-tracking and optical-flow guidance running on uncooled CMOS/CCD cameras. Against those sensors, controlled illumination produces image saturation, blooming, false high-intensity features, contrast collapse, and machine-vision confusion—degrading or breaking terminal lock without physical destruction.</w:t>
      </w:r>
    </w:p>
    <w:p>
      <w:pPr>
        <w:keepNext/>
        <w:keepLines/>
        <w:spacing w:after="40" w:before="60"/>
        <w:jc w:val="center"/>
      </w:pPr>
      <w:r>
        <w:drawing>
          <wp:inline distT="0" distB="0" distL="0" distR="0">
            <wp:extent cx="4095750" cy="1266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20"/>
          <w:szCs w:val="20"/>
        </w:rPr>
        <w:t xml:space="preserve">Figure 3.  Drone-camera view, without vs. with a 450 nm blue optical effect—demonstrated against a representative EO camera.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GHOST investigates the wavelength, dwell, polarization, and beam-geometry parameters that maximize this effect across representative EO camera types, and characterizes the transition from reversible dazzle (Zone 2) to persistent denial (Zone 3) as a function of delivered irradiance—giving the operator a calibrated, proportional response rather than a single binary effect.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DEXTER Adaptive Beam Routing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enabling technology is DEXTER, built on AlphaMicron liquid-crystal polarization gratings (Pancharatnam–Berry-phase optics) that diffract incident light into selectable orders under low-voltage control, with no moving parts. Cascading these elements lets DEXTER electronically route a single laser source to one or many output channels in microseconds—splitting, combining, and steering beams to form the multi-beam "shotgun" that engages several targets at once. This replaces heavy, slow, failure-prone gimbaled mirror trains with a low-SWaP, solid-state, software-defined aperture, and enables a distributed architecture in which multiple beam directors share one laser source across fixed, mobile, shipboard, and expeditionary platforms.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GHOST is therefore not a fixed dazzler but a software-defined effector: wavelength (multi-wavelength green/red/blue + IR), polarization, dwell, and beam geometry are selected in real time; a single sub-kilowatt laser source is electronically allocated across multiple beam directors for multi-target and swarm engagement without duplicating laser hardware.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System Snapshot — Key Attributes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</w:trPr>
        <w:tc>
          <w:tcPr>
            <w:tcW w:type="pct" w:w="5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Attribute</w:t>
            </w:r>
          </w:p>
        </w:tc>
        <w:tc>
          <w:tcPr>
            <w:tcW w:type="pct" w:w="5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GHOST / STORM–DEXTER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Laser output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&lt; 1 kW total, software-allocated across beams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Effective range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Dazzle &lt; 1 km; visual warning &gt; 1 km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Wavelengths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Multi-wavelength — green / red / blue (450 nm) + IR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Beam routing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DEXTER liquid-crystal grating: 1 → tens–hundreds of beams, microsecond switching, no moving parts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Cueing / integration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Detection-agnostic MOSA — EO/IR, radar, RF/EW, TSPI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Engagement doctrine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Graduated Warn/Deter → Dazzle/Disrupt → Deny/Damage; human-in-the-loop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Maturity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Builds on TRL-5 AF STTR (HALAR-L) + TACFI prototype lineage</w:t>
            </w:r>
          </w:p>
        </w:tc>
      </w:tr>
    </w:tbl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1.1  Phase I Technical Objectives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Phase I will establish the technical feasibility of the STORM/DEXTER optical counter-UAS approach against EO-guided Group 1–2 UAS. Specific objectives: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Objective 1 — Assess technical feasibility. Evaluate extending the Navy's seeker-confusion concept from IR seekers to EO-guided fiber-optic drones; characterize the susceptibility of representative EO cameras to controlled optical perturbation and identify the most effective engagement mechanisms.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Objective 2 — Define the STORM/DEXTER C-UAS architecture. Integrate STORM's AI EO/IR detect-track with DEXTER's adaptive beam routing and shaping; identify the hardware and software modifications required to transition to a deployable Navy C-UAS system.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Objective 3 — Quantify performance improvements. Model and measure improvements over existing non-kinetic C-UAS: tracking disruption, multi-target engagement, reduced SWaP, elimination of mechanical beam steering, and effectiveness against RF-jamming-resistant fiber-optic drones.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Objective 4 — Develop a Phase II transition plan. Define the roadmap for a prototype able to recognize, track, and non-kinetically defeat Group 2-and-below UAS, and identify NAVAIR/NAVSEA transition paths.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Phase I Feasibility Metrics (Go / No-Go)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Metric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Phase I Target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Go / No-Go Threshold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EO-camera susceptibility (measurable degradation of terminal tracking)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Demonstrated on ≥ 2 representative EO/FPV cameras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≥ 1 camera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Optical effect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Repeatable saturation / blooming at bench range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Qualitative confirmation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DEXTER multi-beam routing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≥ 3 simultaneously addressable output channels (model/bench)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≥ 2 channels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Predicted SWaP vs. mechanically steered baseline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≥ 30% reduction (analysis)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Net reduction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Architecture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STORM↔DEXTER interface + Navy C-UAS integration defined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Interface defined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Phase I deliverables: Kick-Off Briefing; Progress Report; Final Technical Report documenting the STORM and DEXTER baseline, the Navy C-UAS capability gaps addressed, required modifications, the feasibility assessment, and expected performance improvements; and an Initial Phase II Proposal.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Anticipated Phase I Outcomes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At the conclusion of Phase I, the program will have delivered: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Demonstrated feasibility of applying the Navy seeker-confusion principle to EO-guided FPV fiber-optic drones, evidenced by measured optical degradation of representative EO cameras.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 defined preliminary STORM/DEXTER architecture for Navy C-UAS applications, with the STORM↔DEXTER interface and MOSA integration specified.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Identification of the hardware and software modifications required for a Phase II prototype.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Quantified improvements over existing non-kinetic C-UAS: multi-target engagement, reduced SWaP, elimination of mechanical beam steering, and effectiveness against RF-jamming-resistant fiber-optic drones.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An established technical baseline and transition plan for a Phase II prototype demonstration with NAVAIR/NAVSEA.</w:t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1.2  Phase I (Base and Option) Statement of Work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Base effort (6 months) establishes feasibility and the system architecture. The Option (6 months), funded separately, furthers the effort toward Phase II with a breadboard optical-effects demonstration and a prototype/transition package. All work is performed at Immobileyes' Kent, OH facility; no foreign nationals perform on this ITAR-restricted effort.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25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Task</w:t>
            </w:r>
          </w:p>
        </w:tc>
        <w:tc>
          <w:tcPr>
            <w:tcW w:type="pct" w:w="25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Title</w:t>
            </w:r>
          </w:p>
        </w:tc>
        <w:tc>
          <w:tcPr>
            <w:tcW w:type="pct" w:w="25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Months</w:t>
            </w:r>
          </w:p>
        </w:tc>
        <w:tc>
          <w:tcPr>
            <w:tcW w:type="pct" w:w="25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Primary Deliverable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 (Base)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System Definition &amp; Feasibility Assessment — assess the STORM/DEXTER architecture; review Group 1–2 UAS threats, EO cameras, and current Navy C-UAS to define requirements and gaps.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Kick-Off Briefing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 (Base)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System Architecture &amp; Design — preliminary architecture integrating STORM detect-track with DEXTER beam routing; STORM/DEXTER interface; optical-engagement concept; control architecture.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1–3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Progress Report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 (Base)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Optical Countermeasure Feasibility Evaluation — laboratory test and modeling of saturation, blooming, false-feature generation, and contrast degradation against representative EO cameras; compare vs. existing non-kinetic C-UAS.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2–5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Test data &amp; analysis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 (Base)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Transition Assessment &amp; Phase I Reporting — consolidate results; document performance improvements and residual risk.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5–6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Final Technical Report; Initial Phase II Proposal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 (Option)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Breadboard Optical-Effects Demonstration — STORM cue → DEXTER multi-beam routing → measured dazzle/disruption on a representative EO/FPV camera at range; quantify multi-beam swarm geometry.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7–10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Breadboard demo &amp; data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 (Option)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Phase II Prototype Definition &amp; NAVAIR/NAVSEA Transition Package — prototype design baseline, test plan, and integration/transition plan for a Navy C-UAS demonstration.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10–12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Prototype plan &amp; transition package</w:t>
            </w:r>
          </w:p>
        </w:tc>
      </w:tr>
    </w:tbl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Base Period — Task Approach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Task 1 (Month 1) establishes the Group 1–2 EO-guided threat set, catalogs representative FPV/EO camera technologies and current Navy C-UAS capability gaps, and converts them into system requirements and evaluation criteria at the Kick-Off Briefing.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Task 2 (Months 1–3) develops the preliminary GHOST architecture: the STORM↔DEXTER interface, the optical-engagement concept, the preliminary software and control architecture, and the integration requirements for Navy C-UAS platforms over MOSA.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Task 3 (Months 2–5) is the analytical and laboratory core: bench characterization and modeling of saturation, blooming, false-feature generation, and contrast degradation against representative EO cameras, with performance compared against existing non-kinetic C-UAS on tracking disruption, multi-target potential, and SWaP.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Task 4 (Months 5–6) consolidates the results into the Final Technical Report, quantifies expected performance improvements and residual risk, and produces the Initial Phase II Proposal.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Option Period — Task Approach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Task 5 (Months 7–10) builds a bench breadboard that closes the loop STORM cue → DEXTER multi-beam routing → measured optical effect on a representative EO/FPV camera at range, and quantifies the multi-beam swarm-engagement geometry.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Task 6 (Months 10–12) defines the Phase II prototype baseline, test plan, and NAVAIR/NAVSEA integration and transition package for a Navy C-UAS demonstration.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Key Technical Risks and Mitigations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</w:trPr>
        <w:tc>
          <w:tcPr>
            <w:tcW w:type="pct" w:w="5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Technical Risk</w:t>
            </w:r>
          </w:p>
        </w:tc>
        <w:tc>
          <w:tcPr>
            <w:tcW w:type="pct" w:w="5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Mitigation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EO-camera diversity limits generalization of the optical effect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Test a representative camera set; parameterize wavelength, dwell, and beam geometry via DEXTER software control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Atmospheric and seeker variability at operational range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Bench testing plus modeled range analysis; conservative Phase I feasibility claims, with the range demonstration deferred to the Option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Eye-safety and FAA constraints on CONUS employment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FAA-aware graduated escalation (warn/deter first); OSHA laser-safety controls; non-kinetic-first doctrine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Integration risk with Navy sensors and C2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MOSA / detection-agnostic interfaces; reuse of fielded STORM sensor integrations</w:t>
            </w:r>
          </w:p>
        </w:tc>
      </w:tr>
    </w:tbl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1.3  Related Work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GHOST builds directly on a funded, TRL-5 directed-energy C-UAS lineage: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Air Force STTR Phase II (HALAR-L). Immobileyes built the Gen-1 HALAR-L directed-energy C-UAS prototype to TRL 5, developed with end-user input from the 72d Security Forces Squadron, Tinker AFB; the company has raised approximately $2M in non-dilutive USAF SBIR/STTR funding. Four prior AF STTR Phase I awards (2021, 2023) with Ohio State, Kent State, and the University of Toledo matured the optical-disruption approach.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AlphaMicron (DEXTER / liquid-crystal optics). Partner since 2020 ($600K in-kind + $1.6M matching); liquid-crystal electro-optics fielded on the Army APEL eyewear program, with AFRL Functional Materials Division ties. Supplies the DEXTER beam-routing technology.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Lighthouse Avionics (detection / sensor fusion). Detection partner with a $1.5M SBIR Phase II and an $800K FAA contract at the UAS Test Site, Griffiss NY, plus U.S. CORE II / Cyber Fortress 25 participation; fuses EO/IR, ADS-B, Remote ID, and laser ranging with multi-frame AI.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Demonstrated effect. A 450 nm blue optical effect was demonstrated against a drone camera at 200 m in prior work—direct evidence for the Phase I optical-perturbation hypothesis (Figure 3).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Intellectual property. Immobileyes holds issued U.S. Patents 11,519,701 and 11,686,560 (plus international application WO2025122941A1), extending the Navy seeker-confusion patents (8,305,252; 8,212,709) this effort applies.</w:t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1.4  Defense Need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End users are NAVAIR and NAVSEA C-UAS for Naval installations, Naval aircraft, and ships, plus USMC and Joint-Force expeditionary air defense. The most reasonable near-term use case is fixed and expeditionary point defense of high-value assets against Group 1–2 EO-guided FPV fiber drones that today's RF/GPS-centric C-UAS cannot engage.</w:t>
      </w:r>
    </w:p>
    <w:p>
      <w:pPr>
        <w:keepNext/>
        <w:keepLines/>
        <w:spacing w:after="40" w:before="60"/>
        <w:jc w:val="center"/>
      </w:pPr>
      <w:r>
        <w:drawing>
          <wp:inline distT="0" distB="0" distL="0" distR="0">
            <wp:extent cx="2095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20"/>
          <w:szCs w:val="20"/>
        </w:rPr>
        <w:t xml:space="preserve">Figure 4.  Field-deployed STORM effector—low-SWaP, MOSA, tripod- or vehicle-mountable.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Concept of Employment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GHOST deploys as a modular effector cued by existing Navy sensors over MOSA interfaces, in three primary modes: (1) fixed-site installation defense of magazines, flight lines, and command-and-control nodes; (2) shipboard self-defense against EO-guided threats in the littorals; and (3) expeditionary or vehicle-mounted defense of maneuvering forces. In every mode the graduated escalation framework lets the operator apply the minimum necessary effect—warn, dazzle, or deny—preserving rules-of-engagement latitude and minimizing collateral and airspace risk. Because a single laser source is fanned into many DEXTER-routed beams, one effector engages multiple inbound drones without the magazine-depth penalty of kinetic interceptors.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GHOST's graduated, non-kinetic, low-collateral effect is uniquely suited to CONUS bases and ships, where kinetic defeat is constrained by collateral risk, cost-per-shot, and FAA/host-nation airspace rules—GHOST is FAA-aware by design. STORM's MOSA interfaces let the effector drop into existing Navy sensor and C2 architectures rather than replace them, shortening the path to fielded capability.</w:t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2.0  Key Personnel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Phase I team is led by Immobileyes technical and program staff; all proposed personnel are U.S. Citizens.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25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Name</w:t>
            </w:r>
          </w:p>
        </w:tc>
        <w:tc>
          <w:tcPr>
            <w:tcW w:type="pct" w:w="25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Role on Effort</w:t>
            </w:r>
          </w:p>
        </w:tc>
        <w:tc>
          <w:tcPr>
            <w:tcW w:type="pct" w:w="25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Education</w:t>
            </w:r>
          </w:p>
        </w:tc>
        <w:tc>
          <w:tcPr>
            <w:tcW w:type="pct" w:w="25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Relevant Experience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Dr. Bahman Taheri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Principal Investigator / Electro-Optics Lead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PhD/MS Physics (Oklahoma State); BS Physics (Cal Poly SLO)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90+ patents; PI on Air Force, Navy (ONR), Army, DOE, and NSF programs in liquid-crystal electro-optics, laser/flash protection, and cholesteric-liquid-crystal laser systems; Secret clearance.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Atossa Alavi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Program Manager / Business &amp; IP Lead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JD (Case Western); USPTO-admitted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Program management, DoD transition, and IP strategy for the AlphaMicron/Immobileyes technology base.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Senior Optical Engineer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DEXTER integration &amp; optical-effects test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MS Optics/Physics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Liquid-crystal beam-steering, laser sources, and EO camera characterization.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Electrical / Software Engineers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STORM tracking &amp; control; test automation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BS/MS EE, CS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Real-time detect-track, control electronics, and data pipelines for the feasibility campaign.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Phase I team combines a nationally recognized electro-optics research group with in-house engineering and machining staff, all under one roof at the Kent, OH facility. Dr. Taheri holds a Secret clearance and has served as principal investigator on directed-energy and liquid-crystal programs for the Air Force, Navy (ONR), Army, DOE, and NSF; the supporting optical, electrical, software, and mechanical engineers executed the HALAR-L and TACFI C-UAS prototypes. This depth lets the team run the Phase I laboratory campaign without new hires or subcontracted labor, and provides direct continuity into a Phase II prototype.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Restriction on performance by foreign persons: this topi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 is ITAR-restricted (22 CFR 120–130). No foreign nationals are proposed to perform on this effort; all personnel are U.S. Citizens, consistent with topic §3.5.</w:t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3.0  Commercialization / Transition Plan Summary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DoD transition targets NAVAIR and NAVSEA (installation and ship C-UAS), the USMC, Army RCCTO, and Air Force Security Forces—building on the established Tinker AFB 72d SFS relationship. Non-DoD markets include critical-infrastructure and homeland defense—airports, nuclear facilities, and border security—where non-kinetic, FAA-aware defeat is essential.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Transition Path and Timeline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Phase I establishes feasibility; Phase II delivers a TRL-6 prototype for a Navy operational demonstration, building directly on the TRL-5 HALAR-L baseline and the ~$2M of non-dilutive USAF SBIR/STTR investment already made in the underlying technology; Phase III targets production effectors and integration onto Navy C-UAS programs of record. The established 72d Security Forces Squadron (Tinker AFB) relationship, combined with NAVAIR and NAVSEA transition sponsors identified in Task 6, de-risks the path from prototype to program of record.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Immobileyes' AlphaMicron partnership (liquid-crystal manufacturing) and Lighthouse Avionics partnership (sensor integration and FAA test access) provide a manufacturing and integration base and a dual-use path spanning counter-UAS optics, protective eyewear, and laser-safety products—markets that amortize non-recurring engineering and sustain the production line between defense deliveries. As EO-guided drone threats proliferate, both the DoD C-UAS market and the parallel homeland/critical-infrastructure market are expanding rapidly, and an FAA-aware, non-kinetic effector is differentiated for CONUS employment where kinetic options are precluded.</w:t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Facilities / Equipment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Immobileyes operates a 30,000 square-foot, ISO-9001 facility in Kent, OH with seven laboratories, including an electro-optics/laser laboratory (optical benches and multi-wavelength laser sources) and a MIL-SPEC environmental test suite, plus in-house liquid-crystal device fabrication and assembly through co-located AlphaMicron.</w:t>
      </w:r>
    </w:p>
    <w:p>
      <w:pPr>
        <w:keepNext/>
        <w:keepLines/>
        <w:spacing w:after="40" w:before="60"/>
        <w:jc w:val="center"/>
      </w:pPr>
      <w:r>
        <w:drawing>
          <wp:inline distT="0" distB="0" distL="0" distR="0">
            <wp:extent cx="3429000" cy="2228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20"/>
          <w:szCs w:val="20"/>
        </w:rPr>
        <w:t xml:space="preserve">Figure 5.  Immobileyes electro-optics/laser laboratory (Kent, OH)—optical benches and multi-wavelength laser sources for the Phase I test campaign.</w:t>
      </w:r>
    </w:p>
    <w:p>
      <w:pPr>
        <w:keepNext/>
        <w:keepLines/>
        <w:spacing w:after="40" w:before="60"/>
        <w:jc w:val="center"/>
      </w:pPr>
      <w:r>
        <w:drawing>
          <wp:inline distT="0" distB="0" distL="0" distR="0">
            <wp:extent cx="3429000" cy="1933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20"/>
          <w:szCs w:val="20"/>
        </w:rPr>
        <w:t xml:space="preserve">Figure 6.  In-house manufacturing and assembly capacity (AlphaMicron co-location) supporting Phase II transition.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facility maintains NIST SP 800-171 controls (the basis for the topic's projected CMMC Level 2 (Self)), ITAR registration, and OSHA laser-safety compliance—sufficient to execute all Phase I laboratory tasks without new capital equipment. Firm identifiers: UEI KL3MJVGD9XZ9; CAGE 8KQ82; Woman-Owned Small Business (WOSB).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6"/>
        <w:szCs w:val="16"/>
      </w:rPr>
      <w:t xml:space="preserve">Use or disclosure of proposal data is subject to the restriction on the title page.        Page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sz w:val="16"/>
        <w:szCs w:val="16"/>
      </w:rPr>
      <w:t xml:space="preserve"> of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Times New Roman" w:cs="Times New Roman" w:eastAsia="Times New Roman" w:hAnsi="Times New Roman"/>
        <w:sz w:val="18"/>
        <w:szCs w:val="18"/>
      </w:rPr>
      <w:t xml:space="preserve">Immobileyes, Inc.   ·   Topic DON26BX03-NP002   ·   Volume 2: Technical Volume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>
      <w:pPr>
        <w:spacing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7a85131b2d1fca2d86d02fed1fd4f1e8b4be3df.png"/><Relationship Id="rId10" Type="http://schemas.openxmlformats.org/officeDocument/2006/relationships/image" Target="media/b13bef9c471bee1bf52d45d06481129dc1bece56.png"/><Relationship Id="rId11" Type="http://schemas.openxmlformats.org/officeDocument/2006/relationships/image" Target="media/466bc61b2d4e1f09874fa45b1c223085544ae68e.png"/><Relationship Id="rId12" Type="http://schemas.openxmlformats.org/officeDocument/2006/relationships/image" Target="media/f7dceef47b68311eef8226885dd122221b783817.png"/><Relationship Id="rId13" Type="http://schemas.openxmlformats.org/officeDocument/2006/relationships/image" Target="media/1c2279a1fbd28dcf91009d8d8888a7cad674c310.png"/><Relationship Id="rId14" Type="http://schemas.openxmlformats.org/officeDocument/2006/relationships/image" Target="media/6a7e8a3f57732ebdbc810ed7725d0c05e51f3e6d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2026-07-20T15:30:46.620Z</dcterms:created>
  <dcterms:modified xsi:type="dcterms:W3CDTF">2026-07-20T15:30:46.620Z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