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2E4057"/>
          <w:sz w:val="40"/>
          <w:szCs w:val="40"/>
        </w:rPr>
        <w:t xml:space="preserve">PROMOTION UNDERWRITING PLATFORM</w:t>
      </w:r>
    </w:p>
    <w:p>
      <w:pPr>
        <w:spacing w:after="100"/>
        <w:jc w:val="center"/>
      </w:pPr>
      <w:r>
        <w:rPr>
          <w:rFonts w:ascii="Arial" w:cs="Arial" w:eastAsia="Arial" w:hAnsi="Arial"/>
          <w:color w:val="666666"/>
          <w:sz w:val="28"/>
          <w:szCs w:val="28"/>
        </w:rPr>
        <w:t xml:space="preserve">YouTube-Only Experimental Campaign</w:t>
      </w:r>
    </w:p>
    <w:p>
      <w:pPr>
        <w:spacing w:after="80"/>
      </w:pPr>
    </w:p>
    <w:p>
      <w:pPr>
        <w:pBdr>
          <w:top w:val="single" w:color="2E4057" w:sz="2" w:space="8"/>
        </w:pBdr>
        <w:spacing w:after="40"/>
        <w:jc w:val="center"/>
      </w:pPr>
    </w:p>
    <w:p>
      <w:pPr>
        <w:spacing w:after="80"/>
      </w:pPr>
    </w:p>
    <w:p>
      <w:pPr>
        <w:spacing w:after="80"/>
        <w:jc w:val="center"/>
      </w:pPr>
      <w:r>
        <w:rPr>
          <w:rFonts w:ascii="Arial" w:cs="Arial" w:eastAsia="Arial" w:hAnsi="Arial"/>
          <w:b/>
          <w:bCs/>
          <w:color w:val="1A1A1A"/>
          <w:sz w:val="36"/>
          <w:szCs w:val="36"/>
        </w:rPr>
        <w:t xml:space="preserve">AGREEMENT PACK</w:t>
      </w:r>
    </w:p>
    <w:p>
      <w:pPr>
        <w:spacing w:after="80"/>
      </w:pPr>
    </w:p>
    <w:p>
      <w:pPr>
        <w:spacing w:after="80"/>
        <w:jc w:val="center"/>
      </w:pPr>
      <w:r>
        <w:rPr>
          <w:rFonts w:ascii="Arial" w:cs="Arial" w:eastAsia="Arial" w:hAnsi="Arial"/>
          <w:color w:val="666666"/>
          <w:sz w:val="20"/>
          <w:szCs w:val="20"/>
        </w:rPr>
        <w:t xml:space="preserve">Document 1: Platform Terms of Service (Artist)</w:t>
      </w:r>
    </w:p>
    <w:p>
      <w:pPr>
        <w:spacing w:after="80"/>
        <w:jc w:val="center"/>
      </w:pPr>
      <w:r>
        <w:rPr>
          <w:rFonts w:ascii="Arial" w:cs="Arial" w:eastAsia="Arial" w:hAnsi="Arial"/>
          <w:color w:val="666666"/>
          <w:sz w:val="20"/>
          <w:szCs w:val="20"/>
        </w:rPr>
        <w:t xml:space="preserve">Document 2: Campaign Funding Agreement (Artist – Backer)</w:t>
      </w:r>
    </w:p>
    <w:p>
      <w:pPr>
        <w:spacing w:after="80"/>
        <w:jc w:val="center"/>
      </w:pPr>
      <w:r>
        <w:rPr>
          <w:rFonts w:ascii="Arial" w:cs="Arial" w:eastAsia="Arial" w:hAnsi="Arial"/>
          <w:color w:val="666666"/>
          <w:sz w:val="20"/>
          <w:szCs w:val="20"/>
        </w:rPr>
        <w:t xml:space="preserve">Document 3: Campaign Term Sheet (Per-Campaign Schedule)</w:t>
      </w:r>
    </w:p>
    <w:p>
      <w:pPr>
        <w:spacing w:after="80"/>
      </w:pPr>
    </w:p>
    <w:p>
      <w:pPr>
        <w:spacing w:after="80"/>
      </w:pPr>
    </w:p>
    <w:p>
      <w:pPr>
        <w:spacing w:after="80"/>
      </w:pPr>
    </w:p>
    <w:p>
      <w:pPr>
        <w:spacing w:after="80"/>
        <w:jc w:val="center"/>
      </w:pPr>
      <w:r>
        <w:rPr>
          <w:rFonts w:ascii="Arial" w:cs="Arial" w:eastAsia="Arial" w:hAnsi="Arial"/>
          <w:b/>
          <w:bCs/>
          <w:color w:val="CC0000"/>
          <w:sz w:val="22"/>
          <w:szCs w:val="22"/>
        </w:rPr>
        <w:t xml:space="preserve">EXPERIMENTAL – NOT FOR PUBLIC DISTRIBUTION</w:t>
      </w:r>
    </w:p>
    <w:p>
      <w:pPr>
        <w:spacing w:after="80"/>
        <w:jc w:val="center"/>
      </w:pPr>
      <w:r>
        <w:rPr>
          <w:rFonts w:ascii="Arial" w:cs="Arial" w:eastAsia="Arial" w:hAnsi="Arial"/>
          <w:i/>
          <w:iCs/>
          <w:color w:val="666666"/>
          <w:sz w:val="18"/>
          <w:szCs w:val="18"/>
        </w:rPr>
        <w:t xml:space="preserve">Draft prepared: February 2026</w:t>
      </w:r>
    </w:p>
    <w:p>
      <w:pPr>
        <w:jc w:val="center"/>
      </w:pPr>
      <w:r>
        <w:rPr>
          <w:rFonts w:ascii="Arial" w:cs="Arial" w:eastAsia="Arial" w:hAnsi="Arial"/>
          <w:i/>
          <w:iCs/>
          <w:color w:val="666666"/>
          <w:sz w:val="16"/>
          <w:szCs w:val="16"/>
        </w:rPr>
        <w:t xml:space="preserve">This document does not constitute legal advice. Obtain independent legal counsel before execution.</w:t>
      </w:r>
    </w:p>
    <w:p>
      <w:pPr>
        <w:sectPr>
          <w:pgSz w:w="11906" w:h="16838" w:orient="portrait"/>
          <w:pgMar w:top="1440" w:right="1440" w:bottom="1440" w:left="1440" w:header="708" w:footer="708" w:gutter="0"/>
          <w:pgNumType/>
          <w:docGrid w:linePitch="360"/>
        </w:sectPr>
      </w:pPr>
    </w:p>
    <w:p>
      <w:pPr>
        <w:spacing w:after="120"/>
        <w:jc w:val="center"/>
      </w:pPr>
      <w:r>
        <w:rPr>
          <w:rFonts w:ascii="Arial" w:cs="Arial" w:eastAsia="Arial" w:hAnsi="Arial"/>
          <w:b/>
          <w:bCs/>
          <w:color w:val="666666"/>
          <w:sz w:val="18"/>
          <w:szCs w:val="18"/>
        </w:rPr>
        <w:t xml:space="preserve">DOCUMENT 1</w:t>
      </w:r>
    </w:p>
    <w:p>
      <w:pPr>
        <w:spacing w:after="300"/>
        <w:jc w:val="center"/>
      </w:pPr>
      <w:r>
        <w:rPr>
          <w:rFonts w:ascii="Arial" w:cs="Arial" w:eastAsia="Arial" w:hAnsi="Arial"/>
          <w:b/>
          <w:bCs/>
          <w:color w:val="2E4057"/>
          <w:sz w:val="32"/>
          <w:szCs w:val="32"/>
        </w:rPr>
        <w:t xml:space="preserve">PLATFORM TERMS OF SERVICE</w:t>
      </w:r>
    </w:p>
    <w:p>
      <w:pPr>
        <w:spacing w:after="160" w:line="276"/>
        <w:jc w:val="left"/>
      </w:pPr>
      <w:r>
        <w:rPr>
          <w:rFonts w:ascii="Arial" w:cs="Arial" w:eastAsia="Arial" w:hAnsi="Arial"/>
          <w:b w:val="false"/>
          <w:bCs w:val="false"/>
          <w:i w:val="false"/>
          <w:iCs w:val="false"/>
          <w:color w:val="1A1A1A"/>
          <w:sz w:val="20"/>
          <w:szCs w:val="20"/>
        </w:rPr>
        <w:t xml:space="preserve">These Terms of Service ("Terms") govern the use of the promotion underwriting platform ("Platform") operated by the Platform Entity identified below. By registering on the Platform, listing a campaign, or participating as a backer, you agree to be bound by these Terms.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5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Platform Entity</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[Entity Name / Individual Name]</w:t>
            </w:r>
          </w:p>
        </w:tc>
      </w:tr>
      <w:tr>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Registered Address</w:t>
            </w:r>
          </w:p>
        </w:tc>
        <w:tc>
          <w:tcPr>
            <w:tcW w:type="dxa" w:w="55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[Address]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Contact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[Email]</w:t>
            </w:r>
          </w:p>
        </w:tc>
      </w:tr>
      <w:tr>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Effective Date</w:t>
            </w:r>
          </w:p>
        </w:tc>
        <w:tc>
          <w:tcPr>
            <w:tcW w:type="dxa" w:w="55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w:t>
            </w:r>
          </w:p>
        </w:tc>
      </w:tr>
    </w:tbl>
    <w:p>
      <w:pPr>
        <w:spacing w:after="80"/>
      </w:pPr>
    </w:p>
    <w:p>
      <w:pPr>
        <w:pStyle w:val="Heading1"/>
        <w:spacing w:before="360" w:after="200"/>
      </w:pPr>
      <w:r>
        <w:rPr>
          <w:rFonts w:ascii="Arial" w:cs="Arial" w:eastAsia="Arial" w:hAnsi="Arial"/>
          <w:b/>
          <w:bCs/>
          <w:color w:val="2E4057"/>
          <w:sz w:val="28"/>
          <w:szCs w:val="28"/>
        </w:rPr>
        <w:t xml:space="preserve">1. Definitions</w:t>
      </w:r>
    </w:p>
    <w:p>
      <w:pPr>
        <w:spacing w:after="160" w:line="276"/>
      </w:pPr>
      <w:r>
        <w:rPr>
          <w:rFonts w:ascii="Arial" w:cs="Arial" w:eastAsia="Arial" w:hAnsi="Arial"/>
          <w:b/>
          <w:bCs/>
          <w:color w:val="1A1A1A"/>
          <w:sz w:val="20"/>
          <w:szCs w:val="20"/>
        </w:rPr>
        <w:t xml:space="preserve">"Artist" </w:t>
      </w:r>
      <w:r>
        <w:rPr>
          <w:rFonts w:ascii="Arial" w:cs="Arial" w:eastAsia="Arial" w:hAnsi="Arial"/>
          <w:color w:val="1A1A1A"/>
          <w:sz w:val="20"/>
          <w:szCs w:val="20"/>
        </w:rPr>
        <w:t xml:space="preserve">means an individual or entity that lists a Campaign on the Platform and is the legal owner or exclusive licensee of the Content.</w:t>
      </w:r>
    </w:p>
    <w:p>
      <w:pPr>
        <w:spacing w:after="160" w:line="276"/>
      </w:pPr>
      <w:r>
        <w:rPr>
          <w:rFonts w:ascii="Arial" w:cs="Arial" w:eastAsia="Arial" w:hAnsi="Arial"/>
          <w:b/>
          <w:bCs/>
          <w:color w:val="1A1A1A"/>
          <w:sz w:val="20"/>
          <w:szCs w:val="20"/>
        </w:rPr>
        <w:t xml:space="preserve">"Backer" </w:t>
      </w:r>
      <w:r>
        <w:rPr>
          <w:rFonts w:ascii="Arial" w:cs="Arial" w:eastAsia="Arial" w:hAnsi="Arial"/>
          <w:color w:val="1A1A1A"/>
          <w:sz w:val="20"/>
          <w:szCs w:val="20"/>
        </w:rPr>
        <w:t xml:space="preserve">means an individual or entity that commits funds to a Campaign through the Platform.</w:t>
      </w:r>
    </w:p>
    <w:p>
      <w:pPr>
        <w:spacing w:after="160" w:line="276"/>
      </w:pPr>
      <w:r>
        <w:rPr>
          <w:rFonts w:ascii="Arial" w:cs="Arial" w:eastAsia="Arial" w:hAnsi="Arial"/>
          <w:b/>
          <w:bCs/>
          <w:color w:val="1A1A1A"/>
          <w:sz w:val="20"/>
          <w:szCs w:val="20"/>
        </w:rPr>
        <w:t xml:space="preserve">"Campaign" </w:t>
      </w:r>
      <w:r>
        <w:rPr>
          <w:rFonts w:ascii="Arial" w:cs="Arial" w:eastAsia="Arial" w:hAnsi="Arial"/>
          <w:color w:val="1A1A1A"/>
          <w:sz w:val="20"/>
          <w:szCs w:val="20"/>
        </w:rPr>
        <w:t xml:space="preserve">means a time-bound promotion funding initiative for specific Content, listed on the Platform with defined terms.</w:t>
      </w:r>
    </w:p>
    <w:p>
      <w:pPr>
        <w:spacing w:after="160" w:line="276"/>
      </w:pPr>
      <w:r>
        <w:rPr>
          <w:rFonts w:ascii="Arial" w:cs="Arial" w:eastAsia="Arial" w:hAnsi="Arial"/>
          <w:b/>
          <w:bCs/>
          <w:color w:val="1A1A1A"/>
          <w:sz w:val="20"/>
          <w:szCs w:val="20"/>
        </w:rPr>
        <w:t xml:space="preserve">"Content" </w:t>
      </w:r>
      <w:r>
        <w:rPr>
          <w:rFonts w:ascii="Arial" w:cs="Arial" w:eastAsia="Arial" w:hAnsi="Arial"/>
          <w:color w:val="1A1A1A"/>
          <w:sz w:val="20"/>
          <w:szCs w:val="20"/>
        </w:rPr>
        <w:t xml:space="preserve">means the specific YouTube video(s) identified by URL and/or video ID in a Campaign Term Sheet.</w:t>
      </w:r>
    </w:p>
    <w:p>
      <w:pPr>
        <w:spacing w:after="160" w:line="276"/>
      </w:pPr>
      <w:r>
        <w:rPr>
          <w:rFonts w:ascii="Arial" w:cs="Arial" w:eastAsia="Arial" w:hAnsi="Arial"/>
          <w:b/>
          <w:bCs/>
          <w:color w:val="1A1A1A"/>
          <w:sz w:val="20"/>
          <w:szCs w:val="20"/>
        </w:rPr>
        <w:t xml:space="preserve">"Escrow" </w:t>
      </w:r>
      <w:r>
        <w:rPr>
          <w:rFonts w:ascii="Arial" w:cs="Arial" w:eastAsia="Arial" w:hAnsi="Arial"/>
          <w:color w:val="1A1A1A"/>
          <w:sz w:val="20"/>
          <w:szCs w:val="20"/>
        </w:rPr>
        <w:t xml:space="preserve">means a campaign-specific holding arrangement, controlled by the Artist or a designated escrow agent, into which Campaign funds are deposited and from which disbursements are made exclusively to approved ad platforms.</w:t>
      </w:r>
    </w:p>
    <w:p>
      <w:pPr>
        <w:spacing w:after="160" w:line="276"/>
      </w:pPr>
      <w:r>
        <w:rPr>
          <w:rFonts w:ascii="Arial" w:cs="Arial" w:eastAsia="Arial" w:hAnsi="Arial"/>
          <w:b/>
          <w:bCs/>
          <w:color w:val="1A1A1A"/>
          <w:sz w:val="20"/>
          <w:szCs w:val="20"/>
        </w:rPr>
        <w:t xml:space="preserve">"Revenue Share" </w:t>
      </w:r>
      <w:r>
        <w:rPr>
          <w:rFonts w:ascii="Arial" w:cs="Arial" w:eastAsia="Arial" w:hAnsi="Arial"/>
          <w:color w:val="1A1A1A"/>
          <w:sz w:val="20"/>
          <w:szCs w:val="20"/>
        </w:rPr>
        <w:t xml:space="preserve">means the percentage of incremental YouTube ad revenue attributable to the Campaign, payable by the Artist to Backers as settlement of the Campaign obligation.</w:t>
      </w:r>
    </w:p>
    <w:p>
      <w:pPr>
        <w:spacing w:after="160" w:line="276"/>
      </w:pPr>
      <w:r>
        <w:rPr>
          <w:rFonts w:ascii="Arial" w:cs="Arial" w:eastAsia="Arial" w:hAnsi="Arial"/>
          <w:b/>
          <w:bCs/>
          <w:color w:val="1A1A1A"/>
          <w:sz w:val="20"/>
          <w:szCs w:val="20"/>
        </w:rPr>
        <w:t xml:space="preserve">"Settlement" </w:t>
      </w:r>
      <w:r>
        <w:rPr>
          <w:rFonts w:ascii="Arial" w:cs="Arial" w:eastAsia="Arial" w:hAnsi="Arial"/>
          <w:color w:val="1A1A1A"/>
          <w:sz w:val="20"/>
          <w:szCs w:val="20"/>
        </w:rPr>
        <w:t xml:space="preserve">means the periodic payment by the Artist to Backers in accordance with the waterfall defined in the Campaign Term Sheet.</w:t>
      </w:r>
    </w:p>
    <w:p>
      <w:pPr>
        <w:pStyle w:val="Heading1"/>
        <w:spacing w:before="360" w:after="200"/>
      </w:pPr>
      <w:r>
        <w:rPr>
          <w:rFonts w:ascii="Arial" w:cs="Arial" w:eastAsia="Arial" w:hAnsi="Arial"/>
          <w:b/>
          <w:bCs/>
          <w:color w:val="2E4057"/>
          <w:sz w:val="28"/>
          <w:szCs w:val="28"/>
        </w:rPr>
        <w:t xml:space="preserve">2. Platform Role and Limitations</w:t>
      </w:r>
    </w:p>
    <w:p>
      <w:pPr>
        <w:pStyle w:val="Heading2"/>
        <w:spacing w:before="280" w:after="160"/>
      </w:pPr>
      <w:r>
        <w:rPr>
          <w:rFonts w:ascii="Arial" w:cs="Arial" w:eastAsia="Arial" w:hAnsi="Arial"/>
          <w:b/>
          <w:bCs/>
          <w:color w:val="1A1A1A"/>
          <w:sz w:val="24"/>
          <w:szCs w:val="24"/>
        </w:rPr>
        <w:t xml:space="preserve">2.1 The Platform Is</w:t>
      </w:r>
    </w:p>
    <w:p>
      <w:pPr>
        <w:pStyle w:val="ListParagraph"/>
        <w:numPr>
          <w:ilvl w:val="0"/>
          <w:numId w:val="2"/>
        </w:numPr>
        <w:spacing w:after="80" w:line="276"/>
      </w:pPr>
      <w:r>
        <w:rPr>
          <w:rFonts w:ascii="Arial" w:cs="Arial" w:eastAsia="Arial" w:hAnsi="Arial"/>
          <w:color w:val="1A1A1A"/>
          <w:sz w:val="20"/>
          <w:szCs w:val="20"/>
        </w:rPr>
        <w:t xml:space="preserve">A technology infrastructure layer that connects Artists with Backers for promotion campaigns.</w:t>
      </w:r>
    </w:p>
    <w:p>
      <w:pPr>
        <w:pStyle w:val="ListParagraph"/>
        <w:numPr>
          <w:ilvl w:val="0"/>
          <w:numId w:val="2"/>
        </w:numPr>
        <w:spacing w:after="80" w:line="276"/>
      </w:pPr>
      <w:r>
        <w:rPr>
          <w:rFonts w:ascii="Arial" w:cs="Arial" w:eastAsia="Arial" w:hAnsi="Arial"/>
          <w:color w:val="1A1A1A"/>
          <w:sz w:val="20"/>
          <w:szCs w:val="20"/>
        </w:rPr>
        <w:t xml:space="preserve">A campaign listing, tracking, and reporting service.</w:t>
      </w:r>
    </w:p>
    <w:p>
      <w:pPr>
        <w:pStyle w:val="ListParagraph"/>
        <w:numPr>
          <w:ilvl w:val="0"/>
          <w:numId w:val="2"/>
        </w:numPr>
        <w:spacing w:after="80" w:line="276"/>
      </w:pPr>
      <w:r>
        <w:rPr>
          <w:rFonts w:ascii="Arial" w:cs="Arial" w:eastAsia="Arial" w:hAnsi="Arial"/>
          <w:color w:val="1A1A1A"/>
          <w:sz w:val="20"/>
          <w:szCs w:val="20"/>
        </w:rPr>
        <w:t xml:space="preserve">A facilitator of transparency through YouTube Analytics API integration.</w:t>
      </w:r>
    </w:p>
    <w:p>
      <w:pPr>
        <w:pStyle w:val="Heading2"/>
        <w:spacing w:before="280" w:after="160"/>
      </w:pPr>
      <w:r>
        <w:rPr>
          <w:rFonts w:ascii="Arial" w:cs="Arial" w:eastAsia="Arial" w:hAnsi="Arial"/>
          <w:b/>
          <w:bCs/>
          <w:color w:val="1A1A1A"/>
          <w:sz w:val="24"/>
          <w:szCs w:val="24"/>
        </w:rPr>
        <w:t xml:space="preserve">2.2 The Platform Is Not</w:t>
      </w:r>
    </w:p>
    <w:p>
      <w:pPr>
        <w:pStyle w:val="ListParagraph"/>
        <w:numPr>
          <w:ilvl w:val="0"/>
          <w:numId w:val="3"/>
        </w:numPr>
        <w:spacing w:after="80" w:line="276"/>
      </w:pPr>
      <w:r>
        <w:rPr>
          <w:rFonts w:ascii="Arial" w:cs="Arial" w:eastAsia="Arial" w:hAnsi="Arial"/>
          <w:color w:val="1A1A1A"/>
          <w:sz w:val="20"/>
          <w:szCs w:val="20"/>
        </w:rPr>
        <w:t xml:space="preserve">A label, distributor, rights administrator, or content owner.</w:t>
      </w:r>
    </w:p>
    <w:p>
      <w:pPr>
        <w:pStyle w:val="ListParagraph"/>
        <w:numPr>
          <w:ilvl w:val="0"/>
          <w:numId w:val="3"/>
        </w:numPr>
        <w:spacing w:after="80" w:line="276"/>
      </w:pPr>
      <w:r>
        <w:rPr>
          <w:rFonts w:ascii="Arial" w:cs="Arial" w:eastAsia="Arial" w:hAnsi="Arial"/>
          <w:color w:val="1A1A1A"/>
          <w:sz w:val="20"/>
          <w:szCs w:val="20"/>
        </w:rPr>
        <w:t xml:space="preserve">An escrow agent, fund manager, custodian, or lender.</w:t>
      </w:r>
    </w:p>
    <w:p>
      <w:pPr>
        <w:pStyle w:val="ListParagraph"/>
        <w:numPr>
          <w:ilvl w:val="0"/>
          <w:numId w:val="3"/>
        </w:numPr>
        <w:spacing w:after="80" w:line="276"/>
      </w:pPr>
      <w:r>
        <w:rPr>
          <w:rFonts w:ascii="Arial" w:cs="Arial" w:eastAsia="Arial" w:hAnsi="Arial"/>
          <w:color w:val="1A1A1A"/>
          <w:sz w:val="20"/>
          <w:szCs w:val="20"/>
        </w:rPr>
        <w:t xml:space="preserve">An investment advisor or provider of financial advice.</w:t>
      </w:r>
    </w:p>
    <w:p>
      <w:pPr>
        <w:pStyle w:val="ListParagraph"/>
        <w:numPr>
          <w:ilvl w:val="0"/>
          <w:numId w:val="3"/>
        </w:numPr>
        <w:spacing w:after="80" w:line="276"/>
      </w:pPr>
      <w:r>
        <w:rPr>
          <w:rFonts w:ascii="Arial" w:cs="Arial" w:eastAsia="Arial" w:hAnsi="Arial"/>
          <w:color w:val="1A1A1A"/>
          <w:sz w:val="20"/>
          <w:szCs w:val="20"/>
        </w:rPr>
        <w:t xml:space="preserve">A guarantor of returns, campaign success, or artist performance.</w:t>
      </w:r>
    </w:p>
    <w:p>
      <w:pPr>
        <w:pStyle w:val="Heading2"/>
        <w:spacing w:before="280" w:after="160"/>
      </w:pPr>
      <w:r>
        <w:rPr>
          <w:rFonts w:ascii="Arial" w:cs="Arial" w:eastAsia="Arial" w:hAnsi="Arial"/>
          <w:b/>
          <w:bCs/>
          <w:color w:val="1A1A1A"/>
          <w:sz w:val="24"/>
          <w:szCs w:val="24"/>
        </w:rPr>
        <w:t xml:space="preserve">2.3 No Custody of Funds</w:t>
      </w:r>
    </w:p>
    <w:p>
      <w:pPr>
        <w:spacing w:after="160" w:line="276"/>
        <w:jc w:val="left"/>
      </w:pPr>
      <w:r>
        <w:rPr>
          <w:rFonts w:ascii="Arial" w:cs="Arial" w:eastAsia="Arial" w:hAnsi="Arial"/>
          <w:b w:val="false"/>
          <w:bCs w:val="false"/>
          <w:i w:val="false"/>
          <w:iCs w:val="false"/>
          <w:color w:val="1A1A1A"/>
          <w:sz w:val="20"/>
          <w:szCs w:val="20"/>
        </w:rPr>
        <w:t xml:space="preserve">The Platform does not hold, control, or have custody of Campaign funds at any point. All funds flow through the Escrow arrangement designated by the Artist and approved by Backers. The Platform is not responsible for the management, disbursement, or security of Campaign funds held in Escrow. The Artist is solely responsible for establishing and maintaining the Escrow arrangement in accordance with these Terms.</w:t>
      </w:r>
    </w:p>
    <w:p>
      <w:pPr>
        <w:pStyle w:val="Heading1"/>
        <w:spacing w:before="360" w:after="200"/>
      </w:pPr>
      <w:r>
        <w:rPr>
          <w:rFonts w:ascii="Arial" w:cs="Arial" w:eastAsia="Arial" w:hAnsi="Arial"/>
          <w:b/>
          <w:bCs/>
          <w:color w:val="2E4057"/>
          <w:sz w:val="28"/>
          <w:szCs w:val="28"/>
        </w:rPr>
        <w:t xml:space="preserve">3. Eligibility</w:t>
      </w:r>
    </w:p>
    <w:p>
      <w:pPr>
        <w:pStyle w:val="Heading2"/>
        <w:spacing w:before="280" w:after="160"/>
      </w:pPr>
      <w:r>
        <w:rPr>
          <w:rFonts w:ascii="Arial" w:cs="Arial" w:eastAsia="Arial" w:hAnsi="Arial"/>
          <w:b/>
          <w:bCs/>
          <w:color w:val="1A1A1A"/>
          <w:sz w:val="24"/>
          <w:szCs w:val="24"/>
        </w:rPr>
        <w:t xml:space="preserve">3.1 Artist Eligibility</w:t>
      </w:r>
    </w:p>
    <w:p>
      <w:pPr>
        <w:pStyle w:val="ListParagraph"/>
        <w:numPr>
          <w:ilvl w:val="0"/>
          <w:numId w:val="4"/>
        </w:numPr>
        <w:spacing w:after="100" w:line="276"/>
      </w:pPr>
      <w:r>
        <w:rPr>
          <w:rFonts w:ascii="Arial" w:cs="Arial" w:eastAsia="Arial" w:hAnsi="Arial"/>
          <w:color w:val="1A1A1A"/>
          <w:sz w:val="20"/>
          <w:szCs w:val="20"/>
        </w:rPr>
        <w:t xml:space="preserve">Must be 18 years or older, or a legally constituted entity.</w:t>
      </w:r>
    </w:p>
    <w:p>
      <w:pPr>
        <w:pStyle w:val="ListParagraph"/>
        <w:numPr>
          <w:ilvl w:val="0"/>
          <w:numId w:val="4"/>
        </w:numPr>
        <w:spacing w:after="100" w:line="276"/>
      </w:pPr>
      <w:r>
        <w:rPr>
          <w:rFonts w:ascii="Arial" w:cs="Arial" w:eastAsia="Arial" w:hAnsi="Arial"/>
          <w:color w:val="1A1A1A"/>
          <w:sz w:val="20"/>
          <w:szCs w:val="20"/>
        </w:rPr>
        <w:t xml:space="preserve">Must own or hold exclusive licence to the Content.</w:t>
      </w:r>
    </w:p>
    <w:p>
      <w:pPr>
        <w:pStyle w:val="ListParagraph"/>
        <w:numPr>
          <w:ilvl w:val="0"/>
          <w:numId w:val="4"/>
        </w:numPr>
        <w:spacing w:after="100" w:line="276"/>
      </w:pPr>
      <w:r>
        <w:rPr>
          <w:rFonts w:ascii="Arial" w:cs="Arial" w:eastAsia="Arial" w:hAnsi="Arial"/>
          <w:color w:val="1A1A1A"/>
          <w:sz w:val="20"/>
          <w:szCs w:val="20"/>
        </w:rPr>
        <w:t xml:space="preserve">Must have an active YouTube channel enrolled in the YouTube Partner Program with monetisation enabled.</w:t>
      </w:r>
    </w:p>
    <w:p>
      <w:pPr>
        <w:pStyle w:val="ListParagraph"/>
        <w:numPr>
          <w:ilvl w:val="0"/>
          <w:numId w:val="4"/>
        </w:numPr>
        <w:spacing w:after="100" w:line="276"/>
      </w:pPr>
      <w:r>
        <w:rPr>
          <w:rFonts w:ascii="Arial" w:cs="Arial" w:eastAsia="Arial" w:hAnsi="Arial"/>
          <w:color w:val="1A1A1A"/>
          <w:sz w:val="20"/>
          <w:szCs w:val="20"/>
        </w:rPr>
        <w:t xml:space="preserve">Must complete KYC verification as required by the Platform.</w:t>
      </w:r>
    </w:p>
    <w:p>
      <w:pPr>
        <w:pStyle w:val="ListParagraph"/>
        <w:numPr>
          <w:ilvl w:val="0"/>
          <w:numId w:val="4"/>
        </w:numPr>
        <w:spacing w:after="100" w:line="276"/>
      </w:pPr>
      <w:r>
        <w:rPr>
          <w:rFonts w:ascii="Arial" w:cs="Arial" w:eastAsia="Arial" w:hAnsi="Arial"/>
          <w:color w:val="1A1A1A"/>
          <w:sz w:val="20"/>
          <w:szCs w:val="20"/>
        </w:rPr>
        <w:t xml:space="preserve">Must not be subject to any exclusion, sanctions, or prior default on the Platform.</w:t>
      </w:r>
    </w:p>
    <w:p>
      <w:pPr>
        <w:pStyle w:val="Heading2"/>
        <w:spacing w:before="280" w:after="160"/>
      </w:pPr>
      <w:r>
        <w:rPr>
          <w:rFonts w:ascii="Arial" w:cs="Arial" w:eastAsia="Arial" w:hAnsi="Arial"/>
          <w:b/>
          <w:bCs/>
          <w:color w:val="1A1A1A"/>
          <w:sz w:val="24"/>
          <w:szCs w:val="24"/>
        </w:rPr>
        <w:t xml:space="preserve">3.2 Backer Eligibility</w:t>
      </w:r>
    </w:p>
    <w:p>
      <w:pPr>
        <w:pStyle w:val="ListParagraph"/>
        <w:numPr>
          <w:ilvl w:val="0"/>
          <w:numId w:val="5"/>
        </w:numPr>
        <w:spacing w:after="100" w:line="276"/>
      </w:pPr>
      <w:r>
        <w:rPr>
          <w:rFonts w:ascii="Arial" w:cs="Arial" w:eastAsia="Arial" w:hAnsi="Arial"/>
          <w:color w:val="1A1A1A"/>
          <w:sz w:val="20"/>
          <w:szCs w:val="20"/>
        </w:rPr>
        <w:t xml:space="preserve">Must be 18 years or older.</w:t>
      </w:r>
    </w:p>
    <w:p>
      <w:pPr>
        <w:pStyle w:val="ListParagraph"/>
        <w:numPr>
          <w:ilvl w:val="0"/>
          <w:numId w:val="5"/>
        </w:numPr>
        <w:spacing w:after="100" w:line="276"/>
      </w:pPr>
      <w:r>
        <w:rPr>
          <w:rFonts w:ascii="Arial" w:cs="Arial" w:eastAsia="Arial" w:hAnsi="Arial"/>
          <w:color w:val="1A1A1A"/>
          <w:sz w:val="20"/>
          <w:szCs w:val="20"/>
        </w:rPr>
        <w:t xml:space="preserve">Must acknowledge and accept the risk of partial or total loss of committed funds.</w:t>
      </w:r>
    </w:p>
    <w:p>
      <w:pPr>
        <w:pStyle w:val="ListParagraph"/>
        <w:numPr>
          <w:ilvl w:val="0"/>
          <w:numId w:val="5"/>
        </w:numPr>
        <w:spacing w:after="100" w:line="276"/>
      </w:pPr>
      <w:r>
        <w:rPr>
          <w:rFonts w:ascii="Arial" w:cs="Arial" w:eastAsia="Arial" w:hAnsi="Arial"/>
          <w:color w:val="1A1A1A"/>
          <w:sz w:val="20"/>
          <w:szCs w:val="20"/>
        </w:rPr>
        <w:t xml:space="preserve">Must not treat Campaign participation as a regulated investment or security.</w:t>
      </w:r>
    </w:p>
    <w:p>
      <w:pPr>
        <w:pStyle w:val="Heading1"/>
        <w:spacing w:before="360" w:after="200"/>
      </w:pPr>
      <w:r>
        <w:rPr>
          <w:rFonts w:ascii="Arial" w:cs="Arial" w:eastAsia="Arial" w:hAnsi="Arial"/>
          <w:b/>
          <w:bCs/>
          <w:color w:val="2E4057"/>
          <w:sz w:val="28"/>
          <w:szCs w:val="28"/>
        </w:rPr>
        <w:t xml:space="preserve">4. Campaign Listing and Execution</w:t>
      </w:r>
    </w:p>
    <w:p>
      <w:pPr>
        <w:pStyle w:val="Heading2"/>
        <w:spacing w:before="280" w:after="160"/>
      </w:pPr>
      <w:r>
        <w:rPr>
          <w:rFonts w:ascii="Arial" w:cs="Arial" w:eastAsia="Arial" w:hAnsi="Arial"/>
          <w:b/>
          <w:bCs/>
          <w:color w:val="1A1A1A"/>
          <w:sz w:val="24"/>
          <w:szCs w:val="24"/>
        </w:rPr>
        <w:t xml:space="preserve">4.1 Campaign Creation</w:t>
      </w:r>
    </w:p>
    <w:p>
      <w:pPr>
        <w:spacing w:after="160" w:line="276"/>
        <w:jc w:val="left"/>
      </w:pPr>
      <w:r>
        <w:rPr>
          <w:rFonts w:ascii="Arial" w:cs="Arial" w:eastAsia="Arial" w:hAnsi="Arial"/>
          <w:b w:val="false"/>
          <w:bCs w:val="false"/>
          <w:i w:val="false"/>
          <w:iCs w:val="false"/>
          <w:color w:val="1A1A1A"/>
          <w:sz w:val="20"/>
          <w:szCs w:val="20"/>
        </w:rPr>
        <w:t xml:space="preserve">The Artist creates a Campaign by submitting a Campaign Term Sheet specifying: Content details (YouTube video URL/ID), funding goal, co-pay amount, revenue share terms, cap, tenor, and Escrow details.</w:t>
      </w:r>
    </w:p>
    <w:p>
      <w:pPr>
        <w:pStyle w:val="Heading2"/>
        <w:spacing w:before="280" w:after="160"/>
      </w:pPr>
      <w:r>
        <w:rPr>
          <w:rFonts w:ascii="Arial" w:cs="Arial" w:eastAsia="Arial" w:hAnsi="Arial"/>
          <w:b/>
          <w:bCs/>
          <w:color w:val="1A1A1A"/>
          <w:sz w:val="24"/>
          <w:szCs w:val="24"/>
        </w:rPr>
        <w:t xml:space="preserve">4.2 Artist Co-Pay</w:t>
      </w:r>
    </w:p>
    <w:p>
      <w:pPr>
        <w:spacing w:after="160" w:line="276"/>
        <w:jc w:val="left"/>
      </w:pPr>
      <w:r>
        <w:rPr>
          <w:rFonts w:ascii="Arial" w:cs="Arial" w:eastAsia="Arial" w:hAnsi="Arial"/>
          <w:b w:val="false"/>
          <w:bCs w:val="false"/>
          <w:i w:val="false"/>
          <w:iCs w:val="false"/>
          <w:color w:val="1A1A1A"/>
          <w:sz w:val="20"/>
          <w:szCs w:val="20"/>
        </w:rPr>
        <w:t xml:space="preserve">No Campaign shall activate until the Artist has deposited the required co-pay into Escrow. The Artist’s co-pay is first-in, first-loss. If the Campaign underperforms, the Artist’s co-pay absorbs losses before Backer funds.</w:t>
      </w:r>
    </w:p>
    <w:p>
      <w:pPr>
        <w:pStyle w:val="Heading2"/>
        <w:spacing w:before="280" w:after="160"/>
      </w:pPr>
      <w:r>
        <w:rPr>
          <w:rFonts w:ascii="Arial" w:cs="Arial" w:eastAsia="Arial" w:hAnsi="Arial"/>
          <w:b/>
          <w:bCs/>
          <w:color w:val="1A1A1A"/>
          <w:sz w:val="24"/>
          <w:szCs w:val="24"/>
        </w:rPr>
        <w:t xml:space="preserve">4.3 Escrow Activation</w:t>
      </w:r>
    </w:p>
    <w:p>
      <w:pPr>
        <w:spacing w:after="160" w:line="276"/>
        <w:jc w:val="left"/>
      </w:pPr>
      <w:r>
        <w:rPr>
          <w:rFonts w:ascii="Arial" w:cs="Arial" w:eastAsia="Arial" w:hAnsi="Arial"/>
          <w:b w:val="false"/>
          <w:bCs w:val="false"/>
          <w:i w:val="false"/>
          <w:iCs w:val="false"/>
          <w:color w:val="1A1A1A"/>
          <w:sz w:val="20"/>
          <w:szCs w:val="20"/>
        </w:rPr>
        <w:t xml:space="preserve">The Escrow activates only after: (a) the Artist has deposited the co-pay; and (b) Backer commitments have reached the funding goal or minimum threshold defined in the Term Sheet. The Artist is responsible for establishing the Escrow arrangement and providing evidence of its activation to the Platform.</w:t>
      </w:r>
    </w:p>
    <w:p>
      <w:pPr>
        <w:pStyle w:val="Heading2"/>
        <w:spacing w:before="280" w:after="160"/>
      </w:pPr>
      <w:r>
        <w:rPr>
          <w:rFonts w:ascii="Arial" w:cs="Arial" w:eastAsia="Arial" w:hAnsi="Arial"/>
          <w:b/>
          <w:bCs/>
          <w:color w:val="1A1A1A"/>
          <w:sz w:val="24"/>
          <w:szCs w:val="24"/>
        </w:rPr>
        <w:t xml:space="preserve">4.4 Fund Deployment</w:t>
      </w:r>
    </w:p>
    <w:p>
      <w:pPr>
        <w:spacing w:after="160" w:line="276"/>
        <w:jc w:val="left"/>
      </w:pPr>
      <w:r>
        <w:rPr>
          <w:rFonts w:ascii="Arial" w:cs="Arial" w:eastAsia="Arial" w:hAnsi="Arial"/>
          <w:b w:val="false"/>
          <w:bCs w:val="false"/>
          <w:i w:val="false"/>
          <w:iCs w:val="false"/>
          <w:color w:val="1A1A1A"/>
          <w:sz w:val="20"/>
          <w:szCs w:val="20"/>
        </w:rPr>
        <w:t xml:space="preserve">Escrow funds may only be deployed to verified advertising platforms for the promotion of the designated Content. Permitted deployment channels for this experimental phase are limited to Google Ads (YouTube advertising). Funds cannot be transferred to personal accounts, repurposed, or refunded post-deployment.</w:t>
      </w:r>
    </w:p>
    <w:p>
      <w:pPr>
        <w:pStyle w:val="Heading1"/>
        <w:spacing w:before="360" w:after="200"/>
      </w:pPr>
      <w:r>
        <w:rPr>
          <w:rFonts w:ascii="Arial" w:cs="Arial" w:eastAsia="Arial" w:hAnsi="Arial"/>
          <w:b/>
          <w:bCs/>
          <w:color w:val="2E4057"/>
          <w:sz w:val="28"/>
          <w:szCs w:val="28"/>
        </w:rPr>
        <w:t xml:space="preserve">5. Revenue Observation and Reporting</w:t>
      </w:r>
    </w:p>
    <w:p>
      <w:pPr>
        <w:pStyle w:val="Heading2"/>
        <w:spacing w:before="280" w:after="160"/>
      </w:pPr>
      <w:r>
        <w:rPr>
          <w:rFonts w:ascii="Arial" w:cs="Arial" w:eastAsia="Arial" w:hAnsi="Arial"/>
          <w:b/>
          <w:bCs/>
          <w:color w:val="1A1A1A"/>
          <w:sz w:val="24"/>
          <w:szCs w:val="24"/>
        </w:rPr>
        <w:t xml:space="preserve">5.1 YouTube Analytics Integration</w:t>
      </w:r>
    </w:p>
    <w:p>
      <w:pPr>
        <w:spacing w:after="160" w:line="276"/>
        <w:jc w:val="left"/>
      </w:pPr>
      <w:r>
        <w:rPr>
          <w:rFonts w:ascii="Arial" w:cs="Arial" w:eastAsia="Arial" w:hAnsi="Arial"/>
          <w:b w:val="false"/>
          <w:bCs w:val="false"/>
          <w:i w:val="false"/>
          <w:iCs w:val="false"/>
          <w:color w:val="1A1A1A"/>
          <w:sz w:val="20"/>
          <w:szCs w:val="20"/>
        </w:rPr>
        <w:t xml:space="preserve">The Artist shall grant the Platform read-only OAuth access to their YouTube Analytics data for the Content. The Platform uses this data solely to: (a) establish a pre-campaign streaming baseline; (b) measure incremental uplift during and after the campaign; and (c) compute settlement amounts.</w:t>
      </w:r>
    </w:p>
    <w:p>
      <w:pPr>
        <w:pStyle w:val="Heading2"/>
        <w:spacing w:before="280" w:after="160"/>
      </w:pPr>
      <w:r>
        <w:rPr>
          <w:rFonts w:ascii="Arial" w:cs="Arial" w:eastAsia="Arial" w:hAnsi="Arial"/>
          <w:b/>
          <w:bCs/>
          <w:color w:val="1A1A1A"/>
          <w:sz w:val="24"/>
          <w:szCs w:val="24"/>
        </w:rPr>
        <w:t xml:space="preserve">5.2 Baseline and Uplift</w:t>
      </w:r>
    </w:p>
    <w:p>
      <w:pPr>
        <w:spacing w:after="160" w:line="276"/>
        <w:jc w:val="left"/>
      </w:pPr>
      <w:r>
        <w:rPr>
          <w:rFonts w:ascii="Arial" w:cs="Arial" w:eastAsia="Arial" w:hAnsi="Arial"/>
          <w:b w:val="false"/>
          <w:bCs w:val="false"/>
          <w:i w:val="false"/>
          <w:iCs w:val="false"/>
          <w:color w:val="1A1A1A"/>
          <w:sz w:val="20"/>
          <w:szCs w:val="20"/>
        </w:rPr>
        <w:t xml:space="preserve">The baseline is the average daily YouTube ad revenue for the Content over the 30-day period immediately preceding the Campaign launch date. Incremental uplift is the difference between actual daily revenue and the baseline, measured over the Campaign tenor.</w:t>
      </w:r>
    </w:p>
    <w:p>
      <w:pPr>
        <w:pStyle w:val="Heading2"/>
        <w:spacing w:before="280" w:after="160"/>
      </w:pPr>
      <w:r>
        <w:rPr>
          <w:rFonts w:ascii="Arial" w:cs="Arial" w:eastAsia="Arial" w:hAnsi="Arial"/>
          <w:b/>
          <w:bCs/>
          <w:color w:val="1A1A1A"/>
          <w:sz w:val="24"/>
          <w:szCs w:val="24"/>
        </w:rPr>
        <w:t xml:space="preserve">5.3 Platform Reports</w:t>
      </w:r>
    </w:p>
    <w:p>
      <w:pPr>
        <w:spacing w:after="160" w:line="276"/>
        <w:jc w:val="left"/>
      </w:pPr>
      <w:r>
        <w:rPr>
          <w:rFonts w:ascii="Arial" w:cs="Arial" w:eastAsia="Arial" w:hAnsi="Arial"/>
          <w:b w:val="false"/>
          <w:bCs w:val="false"/>
          <w:i w:val="false"/>
          <w:iCs w:val="false"/>
          <w:color w:val="1A1A1A"/>
          <w:sz w:val="20"/>
          <w:szCs w:val="20"/>
        </w:rPr>
        <w:t xml:space="preserve">The Platform shall generate periodic settlement reports showing baseline, actual revenue, uplift, and amounts due. These reports are informational and based on data provided by the YouTube Analytics API. The Platform does not guarantee the accuracy, completeness, or timeliness of data provided by YouTube.</w:t>
      </w:r>
    </w:p>
    <w:p>
      <w:pPr>
        <w:pStyle w:val="Heading1"/>
        <w:spacing w:before="360" w:after="200"/>
      </w:pPr>
      <w:r>
        <w:rPr>
          <w:rFonts w:ascii="Arial" w:cs="Arial" w:eastAsia="Arial" w:hAnsi="Arial"/>
          <w:b/>
          <w:bCs/>
          <w:color w:val="2E4057"/>
          <w:sz w:val="28"/>
          <w:szCs w:val="28"/>
        </w:rPr>
        <w:t xml:space="preserve">6. Settlement</w:t>
      </w:r>
    </w:p>
    <w:p>
      <w:pPr>
        <w:pStyle w:val="Heading2"/>
        <w:spacing w:before="280" w:after="160"/>
      </w:pPr>
      <w:r>
        <w:rPr>
          <w:rFonts w:ascii="Arial" w:cs="Arial" w:eastAsia="Arial" w:hAnsi="Arial"/>
          <w:b/>
          <w:bCs/>
          <w:color w:val="1A1A1A"/>
          <w:sz w:val="24"/>
          <w:szCs w:val="24"/>
        </w:rPr>
        <w:t xml:space="preserve">6.1 Artist Obligation</w:t>
      </w:r>
    </w:p>
    <w:p>
      <w:pPr>
        <w:spacing w:after="160" w:line="276"/>
        <w:jc w:val="left"/>
      </w:pPr>
      <w:r>
        <w:rPr>
          <w:rFonts w:ascii="Arial" w:cs="Arial" w:eastAsia="Arial" w:hAnsi="Arial"/>
          <w:b w:val="false"/>
          <w:bCs w:val="false"/>
          <w:i w:val="false"/>
          <w:iCs w:val="false"/>
          <w:color w:val="1A1A1A"/>
          <w:sz w:val="20"/>
          <w:szCs w:val="20"/>
        </w:rPr>
        <w:t xml:space="preserve">The Artist is solely responsible for paying the Revenue Share to Backers in accordance with the Campaign Term Sheet. Settlement payments are the Artist’s direct obligation to Backers, facilitated but not guaranteed by the Platform.</w:t>
      </w:r>
    </w:p>
    <w:p>
      <w:pPr>
        <w:pStyle w:val="Heading2"/>
        <w:spacing w:before="280" w:after="160"/>
      </w:pPr>
      <w:r>
        <w:rPr>
          <w:rFonts w:ascii="Arial" w:cs="Arial" w:eastAsia="Arial" w:hAnsi="Arial"/>
          <w:b/>
          <w:bCs/>
          <w:color w:val="1A1A1A"/>
          <w:sz w:val="24"/>
          <w:szCs w:val="24"/>
        </w:rPr>
        <w:t xml:space="preserve">6.2 Waterfall</w:t>
      </w:r>
    </w:p>
    <w:p>
      <w:pPr>
        <w:spacing w:after="160" w:line="276"/>
        <w:jc w:val="left"/>
      </w:pPr>
      <w:r>
        <w:rPr>
          <w:rFonts w:ascii="Arial" w:cs="Arial" w:eastAsia="Arial" w:hAnsi="Arial"/>
          <w:b w:val="false"/>
          <w:bCs w:val="false"/>
          <w:i w:val="false"/>
          <w:iCs w:val="false"/>
          <w:color w:val="1A1A1A"/>
          <w:sz w:val="20"/>
          <w:szCs w:val="20"/>
        </w:rPr>
        <w:t xml:space="preserve">Settlement amounts are computed and reported by the Platform. The Artist shall distribute payments in the following order: (a) Escrow administration costs (if any); (b) Backer principal return; (c) Backer revenue share / premium; (d) Artist retains all remaining revenue.</w:t>
      </w:r>
    </w:p>
    <w:p>
      <w:pPr>
        <w:pStyle w:val="Heading2"/>
        <w:spacing w:before="280" w:after="160"/>
      </w:pPr>
      <w:r>
        <w:rPr>
          <w:rFonts w:ascii="Arial" w:cs="Arial" w:eastAsia="Arial" w:hAnsi="Arial"/>
          <w:b/>
          <w:bCs/>
          <w:color w:val="1A1A1A"/>
          <w:sz w:val="24"/>
          <w:szCs w:val="24"/>
        </w:rPr>
        <w:t xml:space="preserve">6.3 Settlement Period</w:t>
      </w:r>
    </w:p>
    <w:p>
      <w:pPr>
        <w:spacing w:after="160" w:line="276"/>
        <w:jc w:val="left"/>
      </w:pPr>
      <w:r>
        <w:rPr>
          <w:rFonts w:ascii="Arial" w:cs="Arial" w:eastAsia="Arial" w:hAnsi="Arial"/>
          <w:b w:val="false"/>
          <w:bCs w:val="false"/>
          <w:i w:val="false"/>
          <w:iCs w:val="false"/>
          <w:color w:val="1A1A1A"/>
          <w:sz w:val="20"/>
          <w:szCs w:val="20"/>
        </w:rPr>
        <w:t xml:space="preserve">Settlement payments are due monthly, within 15 days of the Platform issuing a settlement report. The Artist is responsible for making payments directly to Backers using the payment method agreed in the Campaign Term Sheet.</w:t>
      </w:r>
    </w:p>
    <w:p>
      <w:pPr>
        <w:pStyle w:val="Heading2"/>
        <w:spacing w:before="280" w:after="160"/>
      </w:pPr>
      <w:r>
        <w:rPr>
          <w:rFonts w:ascii="Arial" w:cs="Arial" w:eastAsia="Arial" w:hAnsi="Arial"/>
          <w:b/>
          <w:bCs/>
          <w:color w:val="1A1A1A"/>
          <w:sz w:val="24"/>
          <w:szCs w:val="24"/>
        </w:rPr>
        <w:t xml:space="preserve">6.4 Cap and Tenor</w:t>
      </w:r>
    </w:p>
    <w:p>
      <w:pPr>
        <w:spacing w:after="160" w:line="276"/>
        <w:jc w:val="left"/>
      </w:pPr>
      <w:r>
        <w:rPr>
          <w:rFonts w:ascii="Arial" w:cs="Arial" w:eastAsia="Arial" w:hAnsi="Arial"/>
          <w:b w:val="false"/>
          <w:bCs w:val="false"/>
          <w:i w:val="false"/>
          <w:iCs w:val="false"/>
          <w:color w:val="1A1A1A"/>
          <w:sz w:val="20"/>
          <w:szCs w:val="20"/>
        </w:rPr>
        <w:t xml:space="preserve">The Artist’s obligation terminates upon the earlier of: (a) Backers receiving the maximum return (Cap) defined in the Term Sheet; or (b) expiry of the Campaign tenor. After termination, the Artist has no further obligations to Backers under the Campaign.</w:t>
      </w:r>
    </w:p>
    <w:p>
      <w:pPr>
        <w:pStyle w:val="Heading1"/>
        <w:spacing w:before="360" w:after="200"/>
      </w:pPr>
      <w:r>
        <w:rPr>
          <w:rFonts w:ascii="Arial" w:cs="Arial" w:eastAsia="Arial" w:hAnsi="Arial"/>
          <w:b/>
          <w:bCs/>
          <w:color w:val="2E4057"/>
          <w:sz w:val="28"/>
          <w:szCs w:val="28"/>
        </w:rPr>
        <w:t xml:space="preserve">7. Default and Consequences</w:t>
      </w:r>
    </w:p>
    <w:p>
      <w:pPr>
        <w:pStyle w:val="Heading2"/>
        <w:spacing w:before="280" w:after="160"/>
      </w:pPr>
      <w:r>
        <w:rPr>
          <w:rFonts w:ascii="Arial" w:cs="Arial" w:eastAsia="Arial" w:hAnsi="Arial"/>
          <w:b/>
          <w:bCs/>
          <w:color w:val="1A1A1A"/>
          <w:sz w:val="24"/>
          <w:szCs w:val="24"/>
        </w:rPr>
        <w:t xml:space="preserve">7.1 Events of Default</w:t>
      </w:r>
    </w:p>
    <w:p>
      <w:pPr>
        <w:pStyle w:val="ListParagraph"/>
        <w:numPr>
          <w:ilvl w:val="0"/>
          <w:numId w:val="6"/>
        </w:numPr>
        <w:spacing w:after="80" w:line="276"/>
      </w:pPr>
      <w:r>
        <w:rPr>
          <w:rFonts w:ascii="Arial" w:cs="Arial" w:eastAsia="Arial" w:hAnsi="Arial"/>
          <w:color w:val="1A1A1A"/>
          <w:sz w:val="20"/>
          <w:szCs w:val="20"/>
        </w:rPr>
        <w:t xml:space="preserve">Artist fails to make a settlement payment within 30 days of the due date.</w:t>
      </w:r>
    </w:p>
    <w:p>
      <w:pPr>
        <w:pStyle w:val="ListParagraph"/>
        <w:numPr>
          <w:ilvl w:val="0"/>
          <w:numId w:val="6"/>
        </w:numPr>
        <w:spacing w:after="80" w:line="276"/>
      </w:pPr>
      <w:r>
        <w:rPr>
          <w:rFonts w:ascii="Arial" w:cs="Arial" w:eastAsia="Arial" w:hAnsi="Arial"/>
          <w:color w:val="1A1A1A"/>
          <w:sz w:val="20"/>
          <w:szCs w:val="20"/>
        </w:rPr>
        <w:t xml:space="preserve">Artist revokes YouTube Analytics OAuth access during the Campaign tenor.</w:t>
      </w:r>
    </w:p>
    <w:p>
      <w:pPr>
        <w:pStyle w:val="ListParagraph"/>
        <w:numPr>
          <w:ilvl w:val="0"/>
          <w:numId w:val="6"/>
        </w:numPr>
        <w:spacing w:after="80" w:line="276"/>
      </w:pPr>
      <w:r>
        <w:rPr>
          <w:rFonts w:ascii="Arial" w:cs="Arial" w:eastAsia="Arial" w:hAnsi="Arial"/>
          <w:color w:val="1A1A1A"/>
          <w:sz w:val="20"/>
          <w:szCs w:val="20"/>
        </w:rPr>
        <w:t xml:space="preserve">Artist materially misrepresents Content ownership, analytics data, or campaign information.</w:t>
      </w:r>
    </w:p>
    <w:p>
      <w:pPr>
        <w:pStyle w:val="ListParagraph"/>
        <w:numPr>
          <w:ilvl w:val="0"/>
          <w:numId w:val="6"/>
        </w:numPr>
        <w:spacing w:after="80" w:line="276"/>
      </w:pPr>
      <w:r>
        <w:rPr>
          <w:rFonts w:ascii="Arial" w:cs="Arial" w:eastAsia="Arial" w:hAnsi="Arial"/>
          <w:color w:val="1A1A1A"/>
          <w:sz w:val="20"/>
          <w:szCs w:val="20"/>
        </w:rPr>
        <w:t xml:space="preserve">Artist deploys Escrow funds to non-approved channels or purposes.</w:t>
      </w:r>
    </w:p>
    <w:p>
      <w:pPr>
        <w:pStyle w:val="Heading2"/>
        <w:spacing w:before="280" w:after="160"/>
      </w:pPr>
      <w:r>
        <w:rPr>
          <w:rFonts w:ascii="Arial" w:cs="Arial" w:eastAsia="Arial" w:hAnsi="Arial"/>
          <w:b/>
          <w:bCs/>
          <w:color w:val="1A1A1A"/>
          <w:sz w:val="24"/>
          <w:szCs w:val="24"/>
        </w:rPr>
        <w:t xml:space="preserve">7.2 Consequences</w:t>
      </w:r>
    </w:p>
    <w:p>
      <w:pPr>
        <w:pStyle w:val="ListParagraph"/>
        <w:numPr>
          <w:ilvl w:val="0"/>
          <w:numId w:val="7"/>
        </w:numPr>
        <w:spacing w:after="100" w:line="276"/>
      </w:pPr>
      <w:r>
        <w:rPr>
          <w:rFonts w:ascii="Arial" w:cs="Arial" w:eastAsia="Arial" w:hAnsi="Arial"/>
          <w:color w:val="1A1A1A"/>
          <w:sz w:val="20"/>
          <w:szCs w:val="20"/>
        </w:rPr>
        <w:t xml:space="preserve">Permanent exclusion from the Platform.</w:t>
      </w:r>
    </w:p>
    <w:p>
      <w:pPr>
        <w:pStyle w:val="ListParagraph"/>
        <w:numPr>
          <w:ilvl w:val="0"/>
          <w:numId w:val="7"/>
        </w:numPr>
        <w:spacing w:after="100" w:line="276"/>
      </w:pPr>
      <w:r>
        <w:rPr>
          <w:rFonts w:ascii="Arial" w:cs="Arial" w:eastAsia="Arial" w:hAnsi="Arial"/>
          <w:color w:val="1A1A1A"/>
          <w:sz w:val="20"/>
          <w:szCs w:val="20"/>
        </w:rPr>
        <w:t xml:space="preserve">Public disclosure of factual campaign status (funded, deployed, settlement pending/overdue).</w:t>
      </w:r>
    </w:p>
    <w:p>
      <w:pPr>
        <w:pStyle w:val="ListParagraph"/>
        <w:numPr>
          <w:ilvl w:val="0"/>
          <w:numId w:val="7"/>
        </w:numPr>
        <w:spacing w:after="100" w:line="276"/>
      </w:pPr>
      <w:r>
        <w:rPr>
          <w:rFonts w:ascii="Arial" w:cs="Arial" w:eastAsia="Arial" w:hAnsi="Arial"/>
          <w:color w:val="1A1A1A"/>
          <w:sz w:val="20"/>
          <w:szCs w:val="20"/>
        </w:rPr>
        <w:t xml:space="preserve">Escalating late payment penalties as defined in the Campaign Term Sheet.</w:t>
      </w:r>
    </w:p>
    <w:p>
      <w:pPr>
        <w:pStyle w:val="ListParagraph"/>
        <w:numPr>
          <w:ilvl w:val="0"/>
          <w:numId w:val="7"/>
        </w:numPr>
        <w:spacing w:after="100" w:line="276"/>
      </w:pPr>
      <w:r>
        <w:rPr>
          <w:rFonts w:ascii="Arial" w:cs="Arial" w:eastAsia="Arial" w:hAnsi="Arial"/>
          <w:color w:val="1A1A1A"/>
          <w:sz w:val="20"/>
          <w:szCs w:val="20"/>
        </w:rPr>
        <w:t xml:space="preserve">Activation of the conditional security licence under Clause 8, if applicable.</w:t>
      </w:r>
    </w:p>
    <w:p>
      <w:pPr>
        <w:pStyle w:val="ListParagraph"/>
        <w:numPr>
          <w:ilvl w:val="0"/>
          <w:numId w:val="7"/>
        </w:numPr>
        <w:spacing w:after="100" w:line="276"/>
      </w:pPr>
      <w:r>
        <w:rPr>
          <w:rFonts w:ascii="Arial" w:cs="Arial" w:eastAsia="Arial" w:hAnsi="Arial"/>
          <w:color w:val="1A1A1A"/>
          <w:sz w:val="20"/>
          <w:szCs w:val="20"/>
        </w:rPr>
        <w:t xml:space="preserve">Backers retain all contractual remedies available under applicable law.</w:t>
      </w:r>
    </w:p>
    <w:p>
      <w:pPr>
        <w:pStyle w:val="Heading1"/>
        <w:spacing w:before="360" w:after="200"/>
      </w:pPr>
      <w:r>
        <w:rPr>
          <w:rFonts w:ascii="Arial" w:cs="Arial" w:eastAsia="Arial" w:hAnsi="Arial"/>
          <w:b/>
          <w:bCs/>
          <w:color w:val="2E4057"/>
          <w:sz w:val="28"/>
          <w:szCs w:val="28"/>
        </w:rPr>
        <w:t xml:space="preserve">8. Intellectual Property</w:t>
      </w:r>
    </w:p>
    <w:p>
      <w:pPr>
        <w:pStyle w:val="Heading2"/>
        <w:spacing w:before="280" w:after="160"/>
      </w:pPr>
      <w:r>
        <w:rPr>
          <w:rFonts w:ascii="Arial" w:cs="Arial" w:eastAsia="Arial" w:hAnsi="Arial"/>
          <w:b/>
          <w:bCs/>
          <w:color w:val="1A1A1A"/>
          <w:sz w:val="24"/>
          <w:szCs w:val="24"/>
        </w:rPr>
        <w:t xml:space="preserve">8.1 No Transfer</w:t>
      </w:r>
    </w:p>
    <w:p>
      <w:pPr>
        <w:spacing w:after="160" w:line="276"/>
        <w:jc w:val="left"/>
      </w:pPr>
      <w:r>
        <w:rPr>
          <w:rFonts w:ascii="Arial" w:cs="Arial" w:eastAsia="Arial" w:hAnsi="Arial"/>
          <w:b w:val="false"/>
          <w:bCs w:val="false"/>
          <w:i w:val="false"/>
          <w:iCs w:val="false"/>
          <w:color w:val="1A1A1A"/>
          <w:sz w:val="20"/>
          <w:szCs w:val="20"/>
        </w:rPr>
        <w:t xml:space="preserve">The Platform does not acquire any ownership, licence, or exploitation rights over the Content. The Artist retains full ownership of all intellectual property at all times.</w:t>
      </w:r>
    </w:p>
    <w:p>
      <w:pPr>
        <w:pStyle w:val="Heading2"/>
        <w:spacing w:before="280" w:after="160"/>
      </w:pPr>
      <w:r>
        <w:rPr>
          <w:rFonts w:ascii="Arial" w:cs="Arial" w:eastAsia="Arial" w:hAnsi="Arial"/>
          <w:b/>
          <w:bCs/>
          <w:color w:val="1A1A1A"/>
          <w:sz w:val="24"/>
          <w:szCs w:val="24"/>
        </w:rPr>
        <w:t xml:space="preserve">8.2 Conditional Security Licence (Optional)</w:t>
      </w:r>
    </w:p>
    <w:p>
      <w:pPr>
        <w:spacing w:after="160" w:line="276"/>
        <w:jc w:val="left"/>
      </w:pPr>
      <w:r>
        <w:rPr>
          <w:rFonts w:ascii="Arial" w:cs="Arial" w:eastAsia="Arial" w:hAnsi="Arial"/>
          <w:b w:val="false"/>
          <w:bCs w:val="false"/>
          <w:i w:val="false"/>
          <w:iCs w:val="false"/>
          <w:color w:val="1A1A1A"/>
          <w:sz w:val="20"/>
          <w:szCs w:val="20"/>
        </w:rPr>
        <w:t xml:space="preserve">Where elected in the Campaign Term Sheet, the Artist grants the Platform a dormant, conditional, non-exclusive licence over the Content, which activates only upon an Event of Default and solely to the extent necessary to enforce collection of amounts due to Backers. This licence:</w:t>
      </w:r>
    </w:p>
    <w:p>
      <w:pPr>
        <w:pStyle w:val="ListParagraph"/>
        <w:numPr>
          <w:ilvl w:val="0"/>
          <w:numId w:val="8"/>
        </w:numPr>
        <w:spacing w:after="80" w:line="276"/>
      </w:pPr>
      <w:r>
        <w:rPr>
          <w:rFonts w:ascii="Arial" w:cs="Arial" w:eastAsia="Arial" w:hAnsi="Arial"/>
          <w:color w:val="1A1A1A"/>
          <w:sz w:val="20"/>
          <w:szCs w:val="20"/>
        </w:rPr>
        <w:t xml:space="preserve">Is dormant unless and until an Event of Default occurs.</w:t>
      </w:r>
    </w:p>
    <w:p>
      <w:pPr>
        <w:pStyle w:val="ListParagraph"/>
        <w:numPr>
          <w:ilvl w:val="0"/>
          <w:numId w:val="8"/>
        </w:numPr>
        <w:spacing w:after="80" w:line="276"/>
      </w:pPr>
      <w:r>
        <w:rPr>
          <w:rFonts w:ascii="Arial" w:cs="Arial" w:eastAsia="Arial" w:hAnsi="Arial"/>
          <w:color w:val="1A1A1A"/>
          <w:sz w:val="20"/>
          <w:szCs w:val="20"/>
        </w:rPr>
        <w:t xml:space="preserve">Is limited to the specific Content identified in the Campaign.</w:t>
      </w:r>
    </w:p>
    <w:p>
      <w:pPr>
        <w:pStyle w:val="ListParagraph"/>
        <w:numPr>
          <w:ilvl w:val="0"/>
          <w:numId w:val="8"/>
        </w:numPr>
        <w:spacing w:after="80" w:line="276"/>
      </w:pPr>
      <w:r>
        <w:rPr>
          <w:rFonts w:ascii="Arial" w:cs="Arial" w:eastAsia="Arial" w:hAnsi="Arial"/>
          <w:color w:val="1A1A1A"/>
          <w:sz w:val="20"/>
          <w:szCs w:val="20"/>
        </w:rPr>
        <w:t xml:space="preserve">Does not include exploitation, distribution, or sub-licensing rights.</w:t>
      </w:r>
    </w:p>
    <w:p>
      <w:pPr>
        <w:pStyle w:val="ListParagraph"/>
        <w:numPr>
          <w:ilvl w:val="0"/>
          <w:numId w:val="8"/>
        </w:numPr>
        <w:spacing w:after="80" w:line="276"/>
      </w:pPr>
      <w:r>
        <w:rPr>
          <w:rFonts w:ascii="Arial" w:cs="Arial" w:eastAsia="Arial" w:hAnsi="Arial"/>
          <w:color w:val="1A1A1A"/>
          <w:sz w:val="20"/>
          <w:szCs w:val="20"/>
        </w:rPr>
        <w:t xml:space="preserve">Automatically reverts to the Artist upon full settlement.</w:t>
      </w:r>
    </w:p>
    <w:p>
      <w:pPr>
        <w:pStyle w:val="ListParagraph"/>
        <w:numPr>
          <w:ilvl w:val="0"/>
          <w:numId w:val="8"/>
        </w:numPr>
        <w:spacing w:after="80" w:line="276"/>
      </w:pPr>
      <w:r>
        <w:rPr>
          <w:rFonts w:ascii="Arial" w:cs="Arial" w:eastAsia="Arial" w:hAnsi="Arial"/>
          <w:color w:val="1A1A1A"/>
          <w:sz w:val="20"/>
          <w:szCs w:val="20"/>
        </w:rPr>
        <w:t xml:space="preserve">Explicitly preserves the Artist’s moral rights.</w:t>
      </w:r>
    </w:p>
    <w:p>
      <w:pPr>
        <w:pStyle w:val="Heading1"/>
        <w:spacing w:before="360" w:after="200"/>
      </w:pPr>
      <w:r>
        <w:rPr>
          <w:rFonts w:ascii="Arial" w:cs="Arial" w:eastAsia="Arial" w:hAnsi="Arial"/>
          <w:b/>
          <w:bCs/>
          <w:color w:val="2E4057"/>
          <w:sz w:val="28"/>
          <w:szCs w:val="28"/>
        </w:rPr>
        <w:t xml:space="preserve">9. Disclaimers and Limitation of Liability</w:t>
      </w:r>
    </w:p>
    <w:p>
      <w:pPr>
        <w:spacing w:after="160" w:line="276"/>
        <w:jc w:val="left"/>
      </w:pPr>
      <w:r>
        <w:rPr>
          <w:rFonts w:ascii="Arial" w:cs="Arial" w:eastAsia="Arial" w:hAnsi="Arial"/>
          <w:b/>
          <w:bCs/>
          <w:i w:val="false"/>
          <w:iCs w:val="false"/>
          <w:color w:val="1A1A1A"/>
          <w:sz w:val="20"/>
          <w:szCs w:val="20"/>
        </w:rPr>
        <w:t xml:space="preserve">THE PLATFORM PROVIDES ITS SERVICES ON AN "AS IS" BASIS. THE PLATFORM MAKES NO GUARANTEES REGARDING CAMPAIGN SUCCESS, REVENUE UPLIFT, OR BACKER RETURNS.</w:t>
      </w:r>
    </w:p>
    <w:p>
      <w:pPr>
        <w:spacing w:after="160" w:line="276"/>
        <w:jc w:val="left"/>
      </w:pPr>
      <w:r>
        <w:rPr>
          <w:rFonts w:ascii="Arial" w:cs="Arial" w:eastAsia="Arial" w:hAnsi="Arial"/>
          <w:b w:val="false"/>
          <w:bCs w:val="false"/>
          <w:i w:val="false"/>
          <w:iCs w:val="false"/>
          <w:color w:val="1A1A1A"/>
          <w:sz w:val="20"/>
          <w:szCs w:val="20"/>
        </w:rPr>
        <w:t xml:space="preserve">The Platform shall not be liable for: (a) any loss of Backer funds resulting from Campaign underperformance; (b) any inaccuracy in YouTube Analytics data; (c) any failure of the Artist to make settlement payments; (d) any failure or unavailability of the Escrow arrangement; (e) any changes to YouTube’s monetisation policies, API availability, or payout terms.</w:t>
      </w:r>
    </w:p>
    <w:p>
      <w:pPr>
        <w:spacing w:after="160" w:line="276"/>
        <w:jc w:val="left"/>
      </w:pPr>
      <w:r>
        <w:rPr>
          <w:rFonts w:ascii="Arial" w:cs="Arial" w:eastAsia="Arial" w:hAnsi="Arial"/>
          <w:b w:val="false"/>
          <w:bCs w:val="false"/>
          <w:i w:val="false"/>
          <w:iCs w:val="false"/>
          <w:color w:val="1A1A1A"/>
          <w:sz w:val="20"/>
          <w:szCs w:val="20"/>
        </w:rPr>
        <w:t xml:space="preserve">Each Backer acknowledges that Campaign participation carries the risk of total loss of committed funds. This is underwriting risk, not a guaranteed investment.</w:t>
      </w:r>
    </w:p>
    <w:p>
      <w:pPr>
        <w:pStyle w:val="Heading1"/>
        <w:spacing w:before="360" w:after="200"/>
      </w:pPr>
      <w:r>
        <w:rPr>
          <w:rFonts w:ascii="Arial" w:cs="Arial" w:eastAsia="Arial" w:hAnsi="Arial"/>
          <w:b/>
          <w:bCs/>
          <w:color w:val="2E4057"/>
          <w:sz w:val="28"/>
          <w:szCs w:val="28"/>
        </w:rPr>
        <w:t xml:space="preserve">10. Governing Law and Disputes</w:t>
      </w:r>
    </w:p>
    <w:p>
      <w:pPr>
        <w:spacing w:after="160" w:line="276"/>
        <w:jc w:val="left"/>
      </w:pPr>
      <w:r>
        <w:rPr>
          <w:rFonts w:ascii="Arial" w:cs="Arial" w:eastAsia="Arial" w:hAnsi="Arial"/>
          <w:b w:val="false"/>
          <w:bCs w:val="false"/>
          <w:i w:val="false"/>
          <w:iCs w:val="false"/>
          <w:color w:val="1A1A1A"/>
          <w:sz w:val="20"/>
          <w:szCs w:val="20"/>
        </w:rPr>
        <w:t xml:space="preserve">These Terms shall be governed by the laws of India. Any dispute shall be resolved through arbitration in accordance with the Arbitration and Conciliation Act, 1996, with the seat of arbitration at [City, India]. The language of arbitration shall be English.</w:t>
      </w:r>
    </w:p>
    <w:p>
      <w:pPr>
        <w:pStyle w:val="Heading1"/>
        <w:spacing w:before="360" w:after="200"/>
      </w:pPr>
      <w:r>
        <w:rPr>
          <w:rFonts w:ascii="Arial" w:cs="Arial" w:eastAsia="Arial" w:hAnsi="Arial"/>
          <w:b/>
          <w:bCs/>
          <w:color w:val="2E4057"/>
          <w:sz w:val="28"/>
          <w:szCs w:val="28"/>
        </w:rPr>
        <w:t xml:space="preserve">11. Amendments</w:t>
      </w:r>
    </w:p>
    <w:p>
      <w:pPr>
        <w:spacing w:after="160" w:line="276"/>
        <w:jc w:val="left"/>
      </w:pPr>
      <w:r>
        <w:rPr>
          <w:rFonts w:ascii="Arial" w:cs="Arial" w:eastAsia="Arial" w:hAnsi="Arial"/>
          <w:b w:val="false"/>
          <w:bCs w:val="false"/>
          <w:i w:val="false"/>
          <w:iCs w:val="false"/>
          <w:color w:val="1A1A1A"/>
          <w:sz w:val="20"/>
          <w:szCs w:val="20"/>
        </w:rPr>
        <w:t xml:space="preserve">The Platform may amend these Terms with 30 days’ written notice. Continued use of the Platform after the notice period constitutes acceptance. Active Campaigns are governed by the Terms in effect at the time of Campaign creation.</w:t>
      </w:r>
    </w:p>
    <w:p>
      <w:pPr>
        <w:spacing w:after="80"/>
      </w:pPr>
    </w:p>
    <w:p>
      <w:pPr>
        <w:spacing w:after="160" w:line="276"/>
        <w:jc w:val="left"/>
      </w:pPr>
      <w:r>
        <w:rPr>
          <w:rFonts w:ascii="Arial" w:cs="Arial" w:eastAsia="Arial" w:hAnsi="Arial"/>
          <w:b/>
          <w:bCs/>
          <w:i w:val="false"/>
          <w:iCs w:val="false"/>
          <w:color w:val="1A1A1A"/>
          <w:sz w:val="20"/>
          <w:szCs w:val="20"/>
        </w:rPr>
        <w:t xml:space="preserve">IN WITNESS WHEREOF, the parties have executed these Terms as of the Effective Date.</w:t>
      </w:r>
    </w:p>
    <w:p>
      <w:pPr>
        <w:spacing w:after="80"/>
      </w:pPr>
    </w:p>
    <w:p>
      <w:pPr>
        <w:spacing w:after="80"/>
      </w:pPr>
    </w:p>
    <w:p>
      <w:pPr>
        <w:spacing w:after="160" w:line="276"/>
        <w:jc w:val="left"/>
      </w:pPr>
      <w:r>
        <w:rPr>
          <w:rFonts w:ascii="Arial" w:cs="Arial" w:eastAsia="Arial" w:hAnsi="Arial"/>
          <w:b/>
          <w:bCs/>
          <w:i w:val="false"/>
          <w:iCs w:val="false"/>
          <w:color w:val="1A1A1A"/>
          <w:sz w:val="20"/>
          <w:szCs w:val="20"/>
        </w:rPr>
        <w:t xml:space="preserve">For and on behalf of: Platform</w:t>
      </w:r>
    </w:p>
    <w:p>
      <w:pPr>
        <w:spacing w:after="80"/>
      </w:pPr>
    </w:p>
    <w:p>
      <w:pPr>
        <w:spacing w:after="160" w:line="276"/>
        <w:jc w:val="left"/>
      </w:pPr>
      <w:r>
        <w:rPr>
          <w:rFonts w:ascii="Arial" w:cs="Arial" w:eastAsia="Arial" w:hAnsi="Arial"/>
          <w:b w:val="false"/>
          <w:bCs w:val="false"/>
          <w:i w:val="false"/>
          <w:iCs w:val="false"/>
          <w:color w:val="1A1A1A"/>
          <w:sz w:val="20"/>
          <w:szCs w:val="20"/>
        </w:rPr>
        <w:t xml:space="preserve">Signature: ____________________________</w:t>
      </w:r>
    </w:p>
    <w:p>
      <w:pPr>
        <w:spacing w:after="160" w:line="276"/>
        <w:jc w:val="left"/>
      </w:pPr>
      <w:r>
        <w:rPr>
          <w:rFonts w:ascii="Arial" w:cs="Arial" w:eastAsia="Arial" w:hAnsi="Arial"/>
          <w:b w:val="false"/>
          <w:bCs w:val="false"/>
          <w:i w:val="false"/>
          <w:iCs w:val="false"/>
          <w:color w:val="1A1A1A"/>
          <w:sz w:val="20"/>
          <w:szCs w:val="20"/>
        </w:rPr>
        <w:t xml:space="preserve">Name: ____________________________</w:t>
      </w:r>
    </w:p>
    <w:p>
      <w:pPr>
        <w:spacing w:after="160" w:line="276"/>
        <w:jc w:val="left"/>
      </w:pPr>
      <w:r>
        <w:rPr>
          <w:rFonts w:ascii="Arial" w:cs="Arial" w:eastAsia="Arial" w:hAnsi="Arial"/>
          <w:b w:val="false"/>
          <w:bCs w:val="false"/>
          <w:i w:val="false"/>
          <w:iCs w:val="false"/>
          <w:color w:val="1A1A1A"/>
          <w:sz w:val="20"/>
          <w:szCs w:val="20"/>
        </w:rPr>
        <w:t xml:space="preserve">Date: ____________________________</w:t>
      </w:r>
    </w:p>
    <w:p>
      <w:pPr>
        <w:spacing w:after="80"/>
      </w:pPr>
    </w:p>
    <w:p>
      <w:pPr>
        <w:spacing w:after="80"/>
      </w:pPr>
    </w:p>
    <w:p>
      <w:pPr>
        <w:spacing w:after="160" w:line="276"/>
        <w:jc w:val="left"/>
      </w:pPr>
      <w:r>
        <w:rPr>
          <w:rFonts w:ascii="Arial" w:cs="Arial" w:eastAsia="Arial" w:hAnsi="Arial"/>
          <w:b/>
          <w:bCs/>
          <w:i w:val="false"/>
          <w:iCs w:val="false"/>
          <w:color w:val="1A1A1A"/>
          <w:sz w:val="20"/>
          <w:szCs w:val="20"/>
        </w:rPr>
        <w:t xml:space="preserve">For and on behalf of: Artist</w:t>
      </w:r>
    </w:p>
    <w:p>
      <w:pPr>
        <w:spacing w:after="80"/>
      </w:pPr>
    </w:p>
    <w:p>
      <w:pPr>
        <w:spacing w:after="160" w:line="276"/>
        <w:jc w:val="left"/>
      </w:pPr>
      <w:r>
        <w:rPr>
          <w:rFonts w:ascii="Arial" w:cs="Arial" w:eastAsia="Arial" w:hAnsi="Arial"/>
          <w:b w:val="false"/>
          <w:bCs w:val="false"/>
          <w:i w:val="false"/>
          <w:iCs w:val="false"/>
          <w:color w:val="1A1A1A"/>
          <w:sz w:val="20"/>
          <w:szCs w:val="20"/>
        </w:rPr>
        <w:t xml:space="preserve">Signature: ____________________________</w:t>
      </w:r>
    </w:p>
    <w:p>
      <w:pPr>
        <w:spacing w:after="160" w:line="276"/>
        <w:jc w:val="left"/>
      </w:pPr>
      <w:r>
        <w:rPr>
          <w:rFonts w:ascii="Arial" w:cs="Arial" w:eastAsia="Arial" w:hAnsi="Arial"/>
          <w:b w:val="false"/>
          <w:bCs w:val="false"/>
          <w:i w:val="false"/>
          <w:iCs w:val="false"/>
          <w:color w:val="1A1A1A"/>
          <w:sz w:val="20"/>
          <w:szCs w:val="20"/>
        </w:rPr>
        <w:t xml:space="preserve">Name: ____________________________</w:t>
      </w:r>
    </w:p>
    <w:p>
      <w:pPr>
        <w:spacing w:after="160" w:line="276"/>
        <w:jc w:val="left"/>
      </w:pPr>
      <w:r>
        <w:rPr>
          <w:rFonts w:ascii="Arial" w:cs="Arial" w:eastAsia="Arial" w:hAnsi="Arial"/>
          <w:b w:val="false"/>
          <w:bCs w:val="false"/>
          <w:i w:val="false"/>
          <w:iCs w:val="false"/>
          <w:color w:val="1A1A1A"/>
          <w:sz w:val="20"/>
          <w:szCs w:val="20"/>
        </w:rPr>
        <w:t xml:space="preserve">Date: ____________________________</w:t>
      </w:r>
    </w:p>
    <w:p>
      <w:pPr>
        <w:spacing w:after="80"/>
      </w:pPr>
    </w:p>
    <w:p>
      <w:pPr>
        <w:spacing w:after="80"/>
      </w:pPr>
    </w:p>
    <w:p>
      <w:pPr>
        <w:spacing w:after="160" w:line="276"/>
        <w:jc w:val="left"/>
      </w:pPr>
      <w:r>
        <w:rPr>
          <w:rFonts w:ascii="Arial" w:cs="Arial" w:eastAsia="Arial" w:hAnsi="Arial"/>
          <w:b/>
          <w:bCs/>
          <w:i w:val="false"/>
          <w:iCs w:val="false"/>
          <w:color w:val="1A1A1A"/>
          <w:sz w:val="20"/>
          <w:szCs w:val="20"/>
        </w:rPr>
        <w:t xml:space="preserve">For and on behalf of: Backer</w:t>
      </w:r>
    </w:p>
    <w:p>
      <w:pPr>
        <w:spacing w:after="80"/>
      </w:pPr>
    </w:p>
    <w:p>
      <w:pPr>
        <w:spacing w:after="160" w:line="276"/>
        <w:jc w:val="left"/>
      </w:pPr>
      <w:r>
        <w:rPr>
          <w:rFonts w:ascii="Arial" w:cs="Arial" w:eastAsia="Arial" w:hAnsi="Arial"/>
          <w:b w:val="false"/>
          <w:bCs w:val="false"/>
          <w:i w:val="false"/>
          <w:iCs w:val="false"/>
          <w:color w:val="1A1A1A"/>
          <w:sz w:val="20"/>
          <w:szCs w:val="20"/>
        </w:rPr>
        <w:t xml:space="preserve">Signature: ____________________________</w:t>
      </w:r>
    </w:p>
    <w:p>
      <w:pPr>
        <w:spacing w:after="160" w:line="276"/>
        <w:jc w:val="left"/>
      </w:pPr>
      <w:r>
        <w:rPr>
          <w:rFonts w:ascii="Arial" w:cs="Arial" w:eastAsia="Arial" w:hAnsi="Arial"/>
          <w:b w:val="false"/>
          <w:bCs w:val="false"/>
          <w:i w:val="false"/>
          <w:iCs w:val="false"/>
          <w:color w:val="1A1A1A"/>
          <w:sz w:val="20"/>
          <w:szCs w:val="20"/>
        </w:rPr>
        <w:t xml:space="preserve">Name: ____________________________</w:t>
      </w:r>
    </w:p>
    <w:p>
      <w:pPr>
        <w:spacing w:after="160" w:line="276"/>
        <w:jc w:val="left"/>
      </w:pPr>
      <w:r>
        <w:rPr>
          <w:rFonts w:ascii="Arial" w:cs="Arial" w:eastAsia="Arial" w:hAnsi="Arial"/>
          <w:b w:val="false"/>
          <w:bCs w:val="false"/>
          <w:i w:val="false"/>
          <w:iCs w:val="false"/>
          <w:color w:val="1A1A1A"/>
          <w:sz w:val="20"/>
          <w:szCs w:val="20"/>
        </w:rPr>
        <w:t xml:space="preserve">Date: ____________________________</w:t>
      </w:r>
    </w:p>
    <w:p>
      <w:pPr>
        <w:sectPr>
          <w:headerReference w:type="default" r:id="rId6"/>
          <w:footerReference w:type="default" r:id="rId7"/>
          <w:pgSz w:w="11906" w:h="16838" w:orient="portrait"/>
          <w:pgMar w:top="1440" w:right="1440" w:bottom="1440" w:left="1440" w:header="708" w:footer="708" w:gutter="0"/>
          <w:pgNumType/>
          <w:docGrid w:linePitch="360"/>
        </w:sectPr>
      </w:pPr>
    </w:p>
    <w:p>
      <w:pPr>
        <w:spacing w:after="120"/>
        <w:jc w:val="center"/>
      </w:pPr>
      <w:r>
        <w:rPr>
          <w:rFonts w:ascii="Arial" w:cs="Arial" w:eastAsia="Arial" w:hAnsi="Arial"/>
          <w:b/>
          <w:bCs/>
          <w:color w:val="666666"/>
          <w:sz w:val="18"/>
          <w:szCs w:val="18"/>
        </w:rPr>
        <w:t xml:space="preserve">DOCUMENT 2</w:t>
      </w:r>
    </w:p>
    <w:p>
      <w:pPr>
        <w:spacing w:after="300"/>
        <w:jc w:val="center"/>
      </w:pPr>
      <w:r>
        <w:rPr>
          <w:rFonts w:ascii="Arial" w:cs="Arial" w:eastAsia="Arial" w:hAnsi="Arial"/>
          <w:b/>
          <w:bCs/>
          <w:color w:val="2E4057"/>
          <w:sz w:val="32"/>
          <w:szCs w:val="32"/>
        </w:rPr>
        <w:t xml:space="preserve">CAMPAIGN FUNDING AGREEMENT</w:t>
      </w:r>
    </w:p>
    <w:p>
      <w:pPr>
        <w:spacing w:after="300"/>
        <w:jc w:val="center"/>
      </w:pPr>
      <w:r>
        <w:rPr>
          <w:rFonts w:ascii="Arial" w:cs="Arial" w:eastAsia="Arial" w:hAnsi="Arial"/>
          <w:i/>
          <w:iCs/>
          <w:color w:val="666666"/>
          <w:sz w:val="20"/>
          <w:szCs w:val="20"/>
        </w:rPr>
        <w:t xml:space="preserve">Between the Artist and Backer(s), facilitated by the Platform</w:t>
      </w:r>
    </w:p>
    <w:p>
      <w:pPr>
        <w:pStyle w:val="Heading1"/>
        <w:spacing w:before="360" w:after="200"/>
      </w:pPr>
      <w:r>
        <w:rPr>
          <w:rFonts w:ascii="Arial" w:cs="Arial" w:eastAsia="Arial" w:hAnsi="Arial"/>
          <w:b/>
          <w:bCs/>
          <w:color w:val="2E4057"/>
          <w:sz w:val="28"/>
          <w:szCs w:val="28"/>
        </w:rPr>
        <w:t xml:space="preserve">1. Parties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Party</w:t>
            </w:r>
          </w:p>
        </w:tc>
        <w:tc>
          <w:tcPr>
            <w:tcW w:type="dxa" w:w="55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Artist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[Artist Name / Legal Entity]</w:t>
            </w:r>
          </w:p>
        </w:tc>
      </w:tr>
      <w:tr>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Artist YouTube Channel</w:t>
            </w:r>
          </w:p>
        </w:tc>
        <w:tc>
          <w:tcPr>
            <w:tcW w:type="dxa" w:w="55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[Channel URL / Channel ID]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Backer(s)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[As listed in the Campaign Term Sheet]</w:t>
            </w:r>
          </w:p>
        </w:tc>
      </w:tr>
      <w:tr>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Platform (Facilitator)</w:t>
            </w:r>
          </w:p>
        </w:tc>
        <w:tc>
          <w:tcPr>
            <w:tcW w:type="dxa" w:w="55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[Platform Entity Name]</w:t>
            </w:r>
          </w:p>
        </w:tc>
      </w:tr>
    </w:tbl>
    <w:p>
      <w:pPr>
        <w:spacing w:after="80"/>
      </w:pPr>
    </w:p>
    <w:p>
      <w:pPr>
        <w:pStyle w:val="Heading1"/>
        <w:spacing w:before="360" w:after="200"/>
      </w:pPr>
      <w:r>
        <w:rPr>
          <w:rFonts w:ascii="Arial" w:cs="Arial" w:eastAsia="Arial" w:hAnsi="Arial"/>
          <w:b/>
          <w:bCs/>
          <w:color w:val="2E4057"/>
          <w:sz w:val="28"/>
          <w:szCs w:val="28"/>
        </w:rPr>
        <w:t xml:space="preserve">2. Purpose</w:t>
      </w:r>
    </w:p>
    <w:p>
      <w:pPr>
        <w:spacing w:after="160" w:line="276"/>
        <w:jc w:val="left"/>
      </w:pPr>
      <w:r>
        <w:rPr>
          <w:rFonts w:ascii="Arial" w:cs="Arial" w:eastAsia="Arial" w:hAnsi="Arial"/>
          <w:b w:val="false"/>
          <w:bCs w:val="false"/>
          <w:i w:val="false"/>
          <w:iCs w:val="false"/>
          <w:color w:val="1A1A1A"/>
          <w:sz w:val="20"/>
          <w:szCs w:val="20"/>
        </w:rPr>
        <w:t xml:space="preserve">This Agreement governs the relationship between the Artist and Backer(s) for a specific promotion Campaign. The Artist seeks promotion capital to amplify existing YouTube Content. The Backer(s) provide funds in exchange for a time-bound, capped share of incremental YouTube ad revenue generated by the promoted Content.</w:t>
      </w:r>
    </w:p>
    <w:p>
      <w:pPr>
        <w:spacing w:after="160" w:line="276"/>
        <w:jc w:val="left"/>
      </w:pPr>
      <w:r>
        <w:rPr>
          <w:rFonts w:ascii="Arial" w:cs="Arial" w:eastAsia="Arial" w:hAnsi="Arial"/>
          <w:b w:val="false"/>
          <w:bCs w:val="false"/>
          <w:i w:val="false"/>
          <w:iCs w:val="false"/>
          <w:color w:val="1A1A1A"/>
          <w:sz w:val="20"/>
          <w:szCs w:val="20"/>
        </w:rPr>
        <w:t xml:space="preserve">This Agreement is not a loan, investment, partnership, joint venture, or securities offering. The Backer’s participation represents funding of a specific promotion campaign with underwriting risk, settled through a contractual revenue share obligation.</w:t>
      </w:r>
    </w:p>
    <w:p>
      <w:pPr>
        <w:pStyle w:val="Heading1"/>
        <w:spacing w:before="360" w:after="200"/>
      </w:pPr>
      <w:r>
        <w:rPr>
          <w:rFonts w:ascii="Arial" w:cs="Arial" w:eastAsia="Arial" w:hAnsi="Arial"/>
          <w:b/>
          <w:bCs/>
          <w:color w:val="2E4057"/>
          <w:sz w:val="28"/>
          <w:szCs w:val="28"/>
        </w:rPr>
        <w:t xml:space="preserve">3. Campaign Terms</w:t>
      </w:r>
    </w:p>
    <w:p>
      <w:pPr>
        <w:spacing w:after="160" w:line="276"/>
        <w:jc w:val="left"/>
      </w:pPr>
      <w:r>
        <w:rPr>
          <w:rFonts w:ascii="Arial" w:cs="Arial" w:eastAsia="Arial" w:hAnsi="Arial"/>
          <w:b w:val="false"/>
          <w:bCs w:val="false"/>
          <w:i w:val="false"/>
          <w:iCs w:val="false"/>
          <w:color w:val="1A1A1A"/>
          <w:sz w:val="20"/>
          <w:szCs w:val="20"/>
        </w:rPr>
        <w:t xml:space="preserve">The specific terms of each Campaign are set out in a Campaign Term Sheet (Document 3), which is incorporated by reference into this Agreement. The Term Sheet specifies: Content details, funding goal, artist co-pay, revenue share percentage, cap, tenor, settlement schedule, and Escrow details.</w:t>
      </w:r>
    </w:p>
    <w:p>
      <w:pPr>
        <w:pStyle w:val="Heading1"/>
        <w:spacing w:before="360" w:after="200"/>
      </w:pPr>
      <w:r>
        <w:rPr>
          <w:rFonts w:ascii="Arial" w:cs="Arial" w:eastAsia="Arial" w:hAnsi="Arial"/>
          <w:b/>
          <w:bCs/>
          <w:color w:val="2E4057"/>
          <w:sz w:val="28"/>
          <w:szCs w:val="28"/>
        </w:rPr>
        <w:t xml:space="preserve">4. Escrow and Fund Deployment</w:t>
      </w:r>
    </w:p>
    <w:p>
      <w:pPr>
        <w:pStyle w:val="Heading2"/>
        <w:spacing w:before="280" w:after="160"/>
      </w:pPr>
      <w:r>
        <w:rPr>
          <w:rFonts w:ascii="Arial" w:cs="Arial" w:eastAsia="Arial" w:hAnsi="Arial"/>
          <w:b/>
          <w:bCs/>
          <w:color w:val="1A1A1A"/>
          <w:sz w:val="24"/>
          <w:szCs w:val="24"/>
        </w:rPr>
        <w:t xml:space="preserve">4.1 Escrow Responsibility</w:t>
      </w:r>
    </w:p>
    <w:p>
      <w:pPr>
        <w:spacing w:after="160" w:line="276"/>
        <w:jc w:val="left"/>
      </w:pPr>
      <w:r>
        <w:rPr>
          <w:rFonts w:ascii="Arial" w:cs="Arial" w:eastAsia="Arial" w:hAnsi="Arial"/>
          <w:b w:val="false"/>
          <w:bCs w:val="false"/>
          <w:i w:val="false"/>
          <w:iCs w:val="false"/>
          <w:color w:val="1A1A1A"/>
          <w:sz w:val="20"/>
          <w:szCs w:val="20"/>
        </w:rPr>
        <w:t xml:space="preserve">The Artist is responsible for establishing and maintaining the Escrow arrangement for the Campaign. The Escrow must be a designated account or arrangement from which funds can only be disbursed to verified Google Ads accounts for the promotion of the designated Content.</w:t>
      </w:r>
    </w:p>
    <w:p>
      <w:pPr>
        <w:pStyle w:val="Heading2"/>
        <w:spacing w:before="280" w:after="160"/>
      </w:pPr>
      <w:r>
        <w:rPr>
          <w:rFonts w:ascii="Arial" w:cs="Arial" w:eastAsia="Arial" w:hAnsi="Arial"/>
          <w:b/>
          <w:bCs/>
          <w:color w:val="1A1A1A"/>
          <w:sz w:val="24"/>
          <w:szCs w:val="24"/>
        </w:rPr>
        <w:t xml:space="preserve">4.2 Escrow Rules</w:t>
      </w:r>
    </w:p>
    <w:p>
      <w:pPr>
        <w:pStyle w:val="ListParagraph"/>
        <w:numPr>
          <w:ilvl w:val="0"/>
          <w:numId w:val="9"/>
        </w:numPr>
        <w:spacing w:after="100" w:line="276"/>
      </w:pPr>
      <w:r>
        <w:rPr>
          <w:rFonts w:ascii="Arial" w:cs="Arial" w:eastAsia="Arial" w:hAnsi="Arial"/>
          <w:color w:val="1A1A1A"/>
          <w:sz w:val="20"/>
          <w:szCs w:val="20"/>
        </w:rPr>
        <w:t xml:space="preserve">The Artist deposits the co-pay into Escrow before the Campaign activates.</w:t>
      </w:r>
    </w:p>
    <w:p>
      <w:pPr>
        <w:pStyle w:val="ListParagraph"/>
        <w:numPr>
          <w:ilvl w:val="0"/>
          <w:numId w:val="9"/>
        </w:numPr>
        <w:spacing w:after="100" w:line="276"/>
      </w:pPr>
      <w:r>
        <w:rPr>
          <w:rFonts w:ascii="Arial" w:cs="Arial" w:eastAsia="Arial" w:hAnsi="Arial"/>
          <w:color w:val="1A1A1A"/>
          <w:sz w:val="20"/>
          <w:szCs w:val="20"/>
        </w:rPr>
        <w:t xml:space="preserve">Backer funds are deposited into Escrow upon commitment.</w:t>
      </w:r>
    </w:p>
    <w:p>
      <w:pPr>
        <w:pStyle w:val="ListParagraph"/>
        <w:numPr>
          <w:ilvl w:val="0"/>
          <w:numId w:val="9"/>
        </w:numPr>
        <w:spacing w:after="100" w:line="276"/>
      </w:pPr>
      <w:r>
        <w:rPr>
          <w:rFonts w:ascii="Arial" w:cs="Arial" w:eastAsia="Arial" w:hAnsi="Arial"/>
          <w:color w:val="1A1A1A"/>
          <w:sz w:val="20"/>
          <w:szCs w:val="20"/>
        </w:rPr>
        <w:t xml:space="preserve">Escrow disburses funds only to Google Ads for YouTube advertising of the designated Content.</w:t>
      </w:r>
    </w:p>
    <w:p>
      <w:pPr>
        <w:pStyle w:val="ListParagraph"/>
        <w:numPr>
          <w:ilvl w:val="0"/>
          <w:numId w:val="9"/>
        </w:numPr>
        <w:spacing w:after="100" w:line="276"/>
      </w:pPr>
      <w:r>
        <w:rPr>
          <w:rFonts w:ascii="Arial" w:cs="Arial" w:eastAsia="Arial" w:hAnsi="Arial"/>
          <w:color w:val="1A1A1A"/>
          <w:sz w:val="20"/>
          <w:szCs w:val="20"/>
        </w:rPr>
        <w:t xml:space="preserve">Escrow funds cannot be transferred to personal bank accounts, redirected to other purposes, or refunded after deployment.</w:t>
      </w:r>
    </w:p>
    <w:p>
      <w:pPr>
        <w:pStyle w:val="ListParagraph"/>
        <w:numPr>
          <w:ilvl w:val="0"/>
          <w:numId w:val="9"/>
        </w:numPr>
        <w:spacing w:after="100" w:line="276"/>
      </w:pPr>
      <w:r>
        <w:rPr>
          <w:rFonts w:ascii="Arial" w:cs="Arial" w:eastAsia="Arial" w:hAnsi="Arial"/>
          <w:color w:val="1A1A1A"/>
          <w:sz w:val="20"/>
          <w:szCs w:val="20"/>
        </w:rPr>
        <w:t xml:space="preserve">The Artist shall provide Backers with proof of Escrow establishment and periodic proof of ad spend.</w:t>
      </w:r>
    </w:p>
    <w:p>
      <w:pPr>
        <w:pStyle w:val="Heading2"/>
        <w:spacing w:before="280" w:after="160"/>
      </w:pPr>
      <w:r>
        <w:rPr>
          <w:rFonts w:ascii="Arial" w:cs="Arial" w:eastAsia="Arial" w:hAnsi="Arial"/>
          <w:b/>
          <w:bCs/>
          <w:color w:val="1A1A1A"/>
          <w:sz w:val="24"/>
          <w:szCs w:val="24"/>
        </w:rPr>
        <w:t xml:space="preserve">4.3 Platform Role in Escrow</w:t>
      </w:r>
    </w:p>
    <w:p>
      <w:pPr>
        <w:spacing w:after="160" w:line="276"/>
        <w:jc w:val="left"/>
      </w:pPr>
      <w:r>
        <w:rPr>
          <w:rFonts w:ascii="Arial" w:cs="Arial" w:eastAsia="Arial" w:hAnsi="Arial"/>
          <w:b w:val="false"/>
          <w:bCs w:val="false"/>
          <w:i w:val="false"/>
          <w:iCs w:val="false"/>
          <w:color w:val="1A1A1A"/>
          <w:sz w:val="20"/>
          <w:szCs w:val="20"/>
        </w:rPr>
        <w:t xml:space="preserve">The Platform does not control, hold, or administer the Escrow. The Platform’s role is limited to facilitating transparency through campaign tracking and YouTube Analytics reporting.</w:t>
      </w:r>
    </w:p>
    <w:p>
      <w:pPr>
        <w:pStyle w:val="Heading1"/>
        <w:spacing w:before="360" w:after="200"/>
      </w:pPr>
      <w:r>
        <w:rPr>
          <w:rFonts w:ascii="Arial" w:cs="Arial" w:eastAsia="Arial" w:hAnsi="Arial"/>
          <w:b/>
          <w:bCs/>
          <w:color w:val="2E4057"/>
          <w:sz w:val="28"/>
          <w:szCs w:val="28"/>
        </w:rPr>
        <w:t xml:space="preserve">5. Revenue Share and Settlement</w:t>
      </w:r>
    </w:p>
    <w:p>
      <w:pPr>
        <w:pStyle w:val="Heading2"/>
        <w:spacing w:before="280" w:after="160"/>
      </w:pPr>
      <w:r>
        <w:rPr>
          <w:rFonts w:ascii="Arial" w:cs="Arial" w:eastAsia="Arial" w:hAnsi="Arial"/>
          <w:b/>
          <w:bCs/>
          <w:color w:val="1A1A1A"/>
          <w:sz w:val="24"/>
          <w:szCs w:val="24"/>
        </w:rPr>
        <w:t xml:space="preserve">5.1 Revenue Share Scope</w:t>
      </w:r>
    </w:p>
    <w:p>
      <w:pPr>
        <w:spacing w:after="160" w:line="276"/>
        <w:jc w:val="left"/>
      </w:pPr>
      <w:r>
        <w:rPr>
          <w:rFonts w:ascii="Arial" w:cs="Arial" w:eastAsia="Arial" w:hAnsi="Arial"/>
          <w:b w:val="false"/>
          <w:bCs w:val="false"/>
          <w:i w:val="false"/>
          <w:iCs w:val="false"/>
          <w:color w:val="1A1A1A"/>
          <w:sz w:val="20"/>
          <w:szCs w:val="20"/>
        </w:rPr>
        <w:t xml:space="preserve">The Revenue Share applies only to incremental YouTube ad revenue attributable to the promoted Content, calculated as actual revenue minus the pre-campaign baseline. Revenue from other sources (live performances, merchandise, sync licensing, other platforms) is excluded unless explicitly included in the Term Sheet.</w:t>
      </w:r>
    </w:p>
    <w:p>
      <w:pPr>
        <w:pStyle w:val="Heading2"/>
        <w:spacing w:before="280" w:after="160"/>
      </w:pPr>
      <w:r>
        <w:rPr>
          <w:rFonts w:ascii="Arial" w:cs="Arial" w:eastAsia="Arial" w:hAnsi="Arial"/>
          <w:b/>
          <w:bCs/>
          <w:color w:val="1A1A1A"/>
          <w:sz w:val="24"/>
          <w:szCs w:val="24"/>
        </w:rPr>
        <w:t xml:space="preserve">5.2 Settlement Mechanics</w:t>
      </w:r>
    </w:p>
    <w:p>
      <w:pPr>
        <w:pStyle w:val="ListParagraph"/>
        <w:numPr>
          <w:ilvl w:val="0"/>
          <w:numId w:val="10"/>
        </w:numPr>
        <w:spacing w:after="100" w:line="276"/>
      </w:pPr>
      <w:r>
        <w:rPr>
          <w:rFonts w:ascii="Arial" w:cs="Arial" w:eastAsia="Arial" w:hAnsi="Arial"/>
          <w:color w:val="1A1A1A"/>
          <w:sz w:val="20"/>
          <w:szCs w:val="20"/>
        </w:rPr>
        <w:t xml:space="preserve">The Platform generates a monthly settlement report based on YouTube Analytics data.</w:t>
      </w:r>
    </w:p>
    <w:p>
      <w:pPr>
        <w:pStyle w:val="ListParagraph"/>
        <w:numPr>
          <w:ilvl w:val="0"/>
          <w:numId w:val="10"/>
        </w:numPr>
        <w:spacing w:after="100" w:line="276"/>
      </w:pPr>
      <w:r>
        <w:rPr>
          <w:rFonts w:ascii="Arial" w:cs="Arial" w:eastAsia="Arial" w:hAnsi="Arial"/>
          <w:color w:val="1A1A1A"/>
          <w:sz w:val="20"/>
          <w:szCs w:val="20"/>
        </w:rPr>
        <w:t xml:space="preserve">The Artist reviews and acknowledges the report within 7 days.</w:t>
      </w:r>
    </w:p>
    <w:p>
      <w:pPr>
        <w:pStyle w:val="ListParagraph"/>
        <w:numPr>
          <w:ilvl w:val="0"/>
          <w:numId w:val="10"/>
        </w:numPr>
        <w:spacing w:after="100" w:line="276"/>
      </w:pPr>
      <w:r>
        <w:rPr>
          <w:rFonts w:ascii="Arial" w:cs="Arial" w:eastAsia="Arial" w:hAnsi="Arial"/>
          <w:color w:val="1A1A1A"/>
          <w:sz w:val="20"/>
          <w:szCs w:val="20"/>
        </w:rPr>
        <w:t xml:space="preserve">The Artist pays the settlement amount directly to Backer(s) within 15 days of report issuance.</w:t>
      </w:r>
    </w:p>
    <w:p>
      <w:pPr>
        <w:pStyle w:val="ListParagraph"/>
        <w:numPr>
          <w:ilvl w:val="0"/>
          <w:numId w:val="10"/>
        </w:numPr>
        <w:spacing w:after="100" w:line="276"/>
      </w:pPr>
      <w:r>
        <w:rPr>
          <w:rFonts w:ascii="Arial" w:cs="Arial" w:eastAsia="Arial" w:hAnsi="Arial"/>
          <w:color w:val="1A1A1A"/>
          <w:sz w:val="20"/>
          <w:szCs w:val="20"/>
        </w:rPr>
        <w:t xml:space="preserve">Payment method and details are specified in the Campaign Term Sheet.</w:t>
      </w:r>
    </w:p>
    <w:p>
      <w:pPr>
        <w:pStyle w:val="Heading2"/>
        <w:spacing w:before="280" w:after="160"/>
      </w:pPr>
      <w:r>
        <w:rPr>
          <w:rFonts w:ascii="Arial" w:cs="Arial" w:eastAsia="Arial" w:hAnsi="Arial"/>
          <w:b/>
          <w:bCs/>
          <w:color w:val="1A1A1A"/>
          <w:sz w:val="24"/>
          <w:szCs w:val="24"/>
        </w:rPr>
        <w:t xml:space="preserve">5.3 Waterfall Priority</w:t>
      </w:r>
    </w:p>
    <w:p>
      <w:pPr>
        <w:pStyle w:val="ListParagraph"/>
        <w:numPr>
          <w:ilvl w:val="0"/>
          <w:numId w:val="11"/>
        </w:numPr>
        <w:spacing w:after="100" w:line="276"/>
      </w:pPr>
      <w:r>
        <w:rPr>
          <w:rFonts w:ascii="Arial" w:cs="Arial" w:eastAsia="Arial" w:hAnsi="Arial"/>
          <w:color w:val="1A1A1A"/>
          <w:sz w:val="20"/>
          <w:szCs w:val="20"/>
        </w:rPr>
        <w:t xml:space="preserve">Escrow administration costs (if any).</w:t>
      </w:r>
    </w:p>
    <w:p>
      <w:pPr>
        <w:pStyle w:val="ListParagraph"/>
        <w:numPr>
          <w:ilvl w:val="0"/>
          <w:numId w:val="11"/>
        </w:numPr>
        <w:spacing w:after="100" w:line="276"/>
      </w:pPr>
      <w:r>
        <w:rPr>
          <w:rFonts w:ascii="Arial" w:cs="Arial" w:eastAsia="Arial" w:hAnsi="Arial"/>
          <w:color w:val="1A1A1A"/>
          <w:sz w:val="20"/>
          <w:szCs w:val="20"/>
        </w:rPr>
        <w:t xml:space="preserve">Return of Backer principal (pro-rata across Backers).</w:t>
      </w:r>
    </w:p>
    <w:p>
      <w:pPr>
        <w:pStyle w:val="ListParagraph"/>
        <w:numPr>
          <w:ilvl w:val="0"/>
          <w:numId w:val="11"/>
        </w:numPr>
        <w:spacing w:after="100" w:line="276"/>
      </w:pPr>
      <w:r>
        <w:rPr>
          <w:rFonts w:ascii="Arial" w:cs="Arial" w:eastAsia="Arial" w:hAnsi="Arial"/>
          <w:color w:val="1A1A1A"/>
          <w:sz w:val="20"/>
          <w:szCs w:val="20"/>
        </w:rPr>
        <w:t xml:space="preserve">Backer premium / revenue share (pro-rata across Backers).</w:t>
      </w:r>
    </w:p>
    <w:p>
      <w:pPr>
        <w:pStyle w:val="ListParagraph"/>
        <w:numPr>
          <w:ilvl w:val="0"/>
          <w:numId w:val="11"/>
        </w:numPr>
        <w:spacing w:after="100" w:line="276"/>
      </w:pPr>
      <w:r>
        <w:rPr>
          <w:rFonts w:ascii="Arial" w:cs="Arial" w:eastAsia="Arial" w:hAnsi="Arial"/>
          <w:color w:val="1A1A1A"/>
          <w:sz w:val="20"/>
          <w:szCs w:val="20"/>
        </w:rPr>
        <w:t xml:space="preserve">Artist retains all remaining revenue.</w:t>
      </w:r>
    </w:p>
    <w:p>
      <w:pPr>
        <w:pStyle w:val="Heading2"/>
        <w:spacing w:before="280" w:after="160"/>
      </w:pPr>
      <w:r>
        <w:rPr>
          <w:rFonts w:ascii="Arial" w:cs="Arial" w:eastAsia="Arial" w:hAnsi="Arial"/>
          <w:b/>
          <w:bCs/>
          <w:color w:val="1A1A1A"/>
          <w:sz w:val="24"/>
          <w:szCs w:val="24"/>
        </w:rPr>
        <w:t xml:space="preserve">5.4 Termination of Obligation</w:t>
      </w:r>
    </w:p>
    <w:p>
      <w:pPr>
        <w:spacing w:after="160" w:line="276"/>
        <w:jc w:val="left"/>
      </w:pPr>
      <w:r>
        <w:rPr>
          <w:rFonts w:ascii="Arial" w:cs="Arial" w:eastAsia="Arial" w:hAnsi="Arial"/>
          <w:b w:val="false"/>
          <w:bCs w:val="false"/>
          <w:i w:val="false"/>
          <w:iCs w:val="false"/>
          <w:color w:val="1A1A1A"/>
          <w:sz w:val="20"/>
          <w:szCs w:val="20"/>
        </w:rPr>
        <w:t xml:space="preserve">The Artist’s revenue share obligation terminates upon the earlier of:</w:t>
      </w:r>
    </w:p>
    <w:p>
      <w:pPr>
        <w:pStyle w:val="ListParagraph"/>
        <w:numPr>
          <w:ilvl w:val="0"/>
          <w:numId w:val="2"/>
        </w:numPr>
        <w:spacing w:after="80" w:line="276"/>
      </w:pPr>
      <w:r>
        <w:rPr>
          <w:rFonts w:ascii="Arial" w:cs="Arial" w:eastAsia="Arial" w:hAnsi="Arial"/>
          <w:color w:val="1A1A1A"/>
          <w:sz w:val="20"/>
          <w:szCs w:val="20"/>
        </w:rPr>
        <w:t xml:space="preserve">Backers receiving total payments equal to the Cap (as defined in the Term Sheet).</w:t>
      </w:r>
    </w:p>
    <w:p>
      <w:pPr>
        <w:pStyle w:val="ListParagraph"/>
        <w:numPr>
          <w:ilvl w:val="0"/>
          <w:numId w:val="2"/>
        </w:numPr>
        <w:spacing w:after="80" w:line="276"/>
      </w:pPr>
      <w:r>
        <w:rPr>
          <w:rFonts w:ascii="Arial" w:cs="Arial" w:eastAsia="Arial" w:hAnsi="Arial"/>
          <w:color w:val="1A1A1A"/>
          <w:sz w:val="20"/>
          <w:szCs w:val="20"/>
        </w:rPr>
        <w:t xml:space="preserve">Expiry of the Campaign tenor.</w:t>
      </w:r>
    </w:p>
    <w:p>
      <w:pPr>
        <w:spacing w:after="160" w:line="276"/>
        <w:jc w:val="left"/>
      </w:pPr>
      <w:r>
        <w:rPr>
          <w:rFonts w:ascii="Arial" w:cs="Arial" w:eastAsia="Arial" w:hAnsi="Arial"/>
          <w:b w:val="false"/>
          <w:bCs w:val="false"/>
          <w:i w:val="false"/>
          <w:iCs w:val="false"/>
          <w:color w:val="1A1A1A"/>
          <w:sz w:val="20"/>
          <w:szCs w:val="20"/>
        </w:rPr>
        <w:t xml:space="preserve">Upon termination, a Settlement Completion Certificate is issued by the Platform, and the Artist has no further obligations under this Campaign.</w:t>
      </w:r>
    </w:p>
    <w:p>
      <w:pPr>
        <w:pStyle w:val="Heading1"/>
        <w:spacing w:before="360" w:after="200"/>
      </w:pPr>
      <w:r>
        <w:rPr>
          <w:rFonts w:ascii="Arial" w:cs="Arial" w:eastAsia="Arial" w:hAnsi="Arial"/>
          <w:b/>
          <w:bCs/>
          <w:color w:val="2E4057"/>
          <w:sz w:val="28"/>
          <w:szCs w:val="28"/>
        </w:rPr>
        <w:t xml:space="preserve">6. Artist Obligations</w:t>
      </w:r>
    </w:p>
    <w:p>
      <w:pPr>
        <w:pStyle w:val="ListParagraph"/>
        <w:numPr>
          <w:ilvl w:val="0"/>
          <w:numId w:val="12"/>
        </w:numPr>
        <w:spacing w:after="100" w:line="276"/>
      </w:pPr>
      <w:r>
        <w:rPr>
          <w:rFonts w:ascii="Arial" w:cs="Arial" w:eastAsia="Arial" w:hAnsi="Arial"/>
          <w:color w:val="1A1A1A"/>
          <w:sz w:val="20"/>
          <w:szCs w:val="20"/>
        </w:rPr>
        <w:t xml:space="preserve">Maintain YouTube Partner Program eligibility and monetisation on the Content for the duration of the Campaign tenor.</w:t>
      </w:r>
    </w:p>
    <w:p>
      <w:pPr>
        <w:pStyle w:val="ListParagraph"/>
        <w:numPr>
          <w:ilvl w:val="0"/>
          <w:numId w:val="12"/>
        </w:numPr>
        <w:spacing w:after="100" w:line="276"/>
      </w:pPr>
      <w:r>
        <w:rPr>
          <w:rFonts w:ascii="Arial" w:cs="Arial" w:eastAsia="Arial" w:hAnsi="Arial"/>
          <w:color w:val="1A1A1A"/>
          <w:sz w:val="20"/>
          <w:szCs w:val="20"/>
        </w:rPr>
        <w:t xml:space="preserve">Maintain YouTube Analytics OAuth access for the Platform throughout the Campaign tenor.</w:t>
      </w:r>
    </w:p>
    <w:p>
      <w:pPr>
        <w:pStyle w:val="ListParagraph"/>
        <w:numPr>
          <w:ilvl w:val="0"/>
          <w:numId w:val="12"/>
        </w:numPr>
        <w:spacing w:after="100" w:line="276"/>
      </w:pPr>
      <w:r>
        <w:rPr>
          <w:rFonts w:ascii="Arial" w:cs="Arial" w:eastAsia="Arial" w:hAnsi="Arial"/>
          <w:color w:val="1A1A1A"/>
          <w:sz w:val="20"/>
          <w:szCs w:val="20"/>
        </w:rPr>
        <w:t xml:space="preserve">Not delete, private, or materially alter the promoted Content during the Campaign tenor without prior written consent of a majority of Backers.</w:t>
      </w:r>
    </w:p>
    <w:p>
      <w:pPr>
        <w:pStyle w:val="ListParagraph"/>
        <w:numPr>
          <w:ilvl w:val="0"/>
          <w:numId w:val="12"/>
        </w:numPr>
        <w:spacing w:after="100" w:line="276"/>
      </w:pPr>
      <w:r>
        <w:rPr>
          <w:rFonts w:ascii="Arial" w:cs="Arial" w:eastAsia="Arial" w:hAnsi="Arial"/>
          <w:color w:val="1A1A1A"/>
          <w:sz w:val="20"/>
          <w:szCs w:val="20"/>
        </w:rPr>
        <w:t xml:space="preserve">Provide proof of Escrow establishment, ad spend receipts, and cooperate with settlement reporting.</w:t>
      </w:r>
    </w:p>
    <w:p>
      <w:pPr>
        <w:pStyle w:val="ListParagraph"/>
        <w:numPr>
          <w:ilvl w:val="0"/>
          <w:numId w:val="12"/>
        </w:numPr>
        <w:spacing w:after="100" w:line="276"/>
      </w:pPr>
      <w:r>
        <w:rPr>
          <w:rFonts w:ascii="Arial" w:cs="Arial" w:eastAsia="Arial" w:hAnsi="Arial"/>
          <w:color w:val="1A1A1A"/>
          <w:sz w:val="20"/>
          <w:szCs w:val="20"/>
        </w:rPr>
        <w:t xml:space="preserve">Make timely settlement payments directly to Backers.</w:t>
      </w:r>
    </w:p>
    <w:p>
      <w:pPr>
        <w:pStyle w:val="ListParagraph"/>
        <w:numPr>
          <w:ilvl w:val="0"/>
          <w:numId w:val="12"/>
        </w:numPr>
        <w:spacing w:after="100" w:line="276"/>
      </w:pPr>
      <w:r>
        <w:rPr>
          <w:rFonts w:ascii="Arial" w:cs="Arial" w:eastAsia="Arial" w:hAnsi="Arial"/>
          <w:color w:val="1A1A1A"/>
          <w:sz w:val="20"/>
          <w:szCs w:val="20"/>
        </w:rPr>
        <w:t xml:space="preserve">Not engage in artificial inflation of views, fake traffic, or any practice that violates YouTube’s Terms of Service.</w:t>
      </w:r>
    </w:p>
    <w:p>
      <w:pPr>
        <w:pStyle w:val="Heading1"/>
        <w:spacing w:before="360" w:after="200"/>
      </w:pPr>
      <w:r>
        <w:rPr>
          <w:rFonts w:ascii="Arial" w:cs="Arial" w:eastAsia="Arial" w:hAnsi="Arial"/>
          <w:b/>
          <w:bCs/>
          <w:color w:val="2E4057"/>
          <w:sz w:val="28"/>
          <w:szCs w:val="28"/>
        </w:rPr>
        <w:t xml:space="preserve">7. Backer Acknowledgements</w:t>
      </w:r>
    </w:p>
    <w:p>
      <w:pPr>
        <w:spacing w:after="160" w:line="276"/>
        <w:jc w:val="left"/>
      </w:pPr>
      <w:r>
        <w:rPr>
          <w:rFonts w:ascii="Arial" w:cs="Arial" w:eastAsia="Arial" w:hAnsi="Arial"/>
          <w:b w:val="false"/>
          <w:bCs w:val="false"/>
          <w:i w:val="false"/>
          <w:iCs w:val="false"/>
          <w:color w:val="1A1A1A"/>
          <w:sz w:val="20"/>
          <w:szCs w:val="20"/>
        </w:rPr>
        <w:t xml:space="preserve">Each Backer acknowledges and agrees:</w:t>
      </w:r>
    </w:p>
    <w:p>
      <w:pPr>
        <w:pStyle w:val="ListParagraph"/>
        <w:numPr>
          <w:ilvl w:val="0"/>
          <w:numId w:val="2"/>
        </w:numPr>
        <w:spacing w:after="80" w:line="276"/>
      </w:pPr>
      <w:r>
        <w:rPr>
          <w:rFonts w:ascii="Arial" w:cs="Arial" w:eastAsia="Arial" w:hAnsi="Arial"/>
          <w:color w:val="1A1A1A"/>
          <w:sz w:val="20"/>
          <w:szCs w:val="20"/>
        </w:rPr>
        <w:t xml:space="preserve">Campaign participation is not an investment in a regulated security, fund, or collective investment scheme.</w:t>
      </w:r>
    </w:p>
    <w:p>
      <w:pPr>
        <w:pStyle w:val="ListParagraph"/>
        <w:numPr>
          <w:ilvl w:val="0"/>
          <w:numId w:val="2"/>
        </w:numPr>
        <w:spacing w:after="80" w:line="276"/>
      </w:pPr>
      <w:r>
        <w:rPr>
          <w:rFonts w:ascii="Arial" w:cs="Arial" w:eastAsia="Arial" w:hAnsi="Arial"/>
          <w:color w:val="1A1A1A"/>
          <w:sz w:val="20"/>
          <w:szCs w:val="20"/>
        </w:rPr>
        <w:t xml:space="preserve">There is no guarantee of return of principal or any revenue share payment.</w:t>
      </w:r>
    </w:p>
    <w:p>
      <w:pPr>
        <w:pStyle w:val="ListParagraph"/>
        <w:numPr>
          <w:ilvl w:val="0"/>
          <w:numId w:val="2"/>
        </w:numPr>
        <w:spacing w:after="80" w:line="276"/>
      </w:pPr>
      <w:r>
        <w:rPr>
          <w:rFonts w:ascii="Arial" w:cs="Arial" w:eastAsia="Arial" w:hAnsi="Arial"/>
          <w:color w:val="1A1A1A"/>
          <w:sz w:val="20"/>
          <w:szCs w:val="20"/>
        </w:rPr>
        <w:t xml:space="preserve">The Backer may lose the entirety of committed funds if the Campaign underperforms.</w:t>
      </w:r>
    </w:p>
    <w:p>
      <w:pPr>
        <w:pStyle w:val="ListParagraph"/>
        <w:numPr>
          <w:ilvl w:val="0"/>
          <w:numId w:val="2"/>
        </w:numPr>
        <w:spacing w:after="80" w:line="276"/>
      </w:pPr>
      <w:r>
        <w:rPr>
          <w:rFonts w:ascii="Arial" w:cs="Arial" w:eastAsia="Arial" w:hAnsi="Arial"/>
          <w:color w:val="1A1A1A"/>
          <w:sz w:val="20"/>
          <w:szCs w:val="20"/>
        </w:rPr>
        <w:t xml:space="preserve">The Platform does not control, hold, or guarantee the Escrow or the Artist’s obligations.</w:t>
      </w:r>
    </w:p>
    <w:p>
      <w:pPr>
        <w:pStyle w:val="ListParagraph"/>
        <w:numPr>
          <w:ilvl w:val="0"/>
          <w:numId w:val="2"/>
        </w:numPr>
        <w:spacing w:after="80" w:line="276"/>
      </w:pPr>
      <w:r>
        <w:rPr>
          <w:rFonts w:ascii="Arial" w:cs="Arial" w:eastAsia="Arial" w:hAnsi="Arial"/>
          <w:color w:val="1A1A1A"/>
          <w:sz w:val="20"/>
          <w:szCs w:val="20"/>
        </w:rPr>
        <w:t xml:space="preserve">YouTube may change its monetisation policies, API availability, ad revenue rates, or terms at any time, which may adversely affect Campaign performance.</w:t>
      </w:r>
    </w:p>
    <w:p>
      <w:pPr>
        <w:pStyle w:val="ListParagraph"/>
        <w:numPr>
          <w:ilvl w:val="0"/>
          <w:numId w:val="2"/>
        </w:numPr>
        <w:spacing w:after="80" w:line="276"/>
      </w:pPr>
      <w:r>
        <w:rPr>
          <w:rFonts w:ascii="Arial" w:cs="Arial" w:eastAsia="Arial" w:hAnsi="Arial"/>
          <w:color w:val="1A1A1A"/>
          <w:sz w:val="20"/>
          <w:szCs w:val="20"/>
        </w:rPr>
        <w:t xml:space="preserve">The Backer has conducted independent assessment of the Campaign and the Artist and is not relying on the Platform for investment advice.</w:t>
      </w:r>
    </w:p>
    <w:p>
      <w:pPr>
        <w:pStyle w:val="Heading1"/>
        <w:spacing w:before="360" w:after="200"/>
      </w:pPr>
      <w:r>
        <w:rPr>
          <w:rFonts w:ascii="Arial" w:cs="Arial" w:eastAsia="Arial" w:hAnsi="Arial"/>
          <w:b/>
          <w:bCs/>
          <w:color w:val="2E4057"/>
          <w:sz w:val="28"/>
          <w:szCs w:val="28"/>
        </w:rPr>
        <w:t xml:space="preserve">8. Default</w:t>
      </w:r>
    </w:p>
    <w:p>
      <w:pPr>
        <w:spacing w:after="160" w:line="276"/>
        <w:jc w:val="left"/>
      </w:pPr>
      <w:r>
        <w:rPr>
          <w:rFonts w:ascii="Arial" w:cs="Arial" w:eastAsia="Arial" w:hAnsi="Arial"/>
          <w:b w:val="false"/>
          <w:bCs w:val="false"/>
          <w:i w:val="false"/>
          <w:iCs w:val="false"/>
          <w:color w:val="1A1A1A"/>
          <w:sz w:val="20"/>
          <w:szCs w:val="20"/>
        </w:rPr>
        <w:t xml:space="preserve">Default events and consequences are as defined in the Platform Terms of Service (Document 1, Clause 7). In addition, Backers may pursue direct legal remedies against the Artist for breach of this Agreement under applicable law.</w:t>
      </w:r>
    </w:p>
    <w:p>
      <w:pPr>
        <w:pStyle w:val="Heading1"/>
        <w:spacing w:before="360" w:after="200"/>
      </w:pPr>
      <w:r>
        <w:rPr>
          <w:rFonts w:ascii="Arial" w:cs="Arial" w:eastAsia="Arial" w:hAnsi="Arial"/>
          <w:b/>
          <w:bCs/>
          <w:color w:val="2E4057"/>
          <w:sz w:val="28"/>
          <w:szCs w:val="28"/>
        </w:rPr>
        <w:t xml:space="preserve">9. Dispute Resolution</w:t>
      </w:r>
    </w:p>
    <w:p>
      <w:pPr>
        <w:spacing w:after="160" w:line="276"/>
        <w:jc w:val="left"/>
      </w:pPr>
      <w:r>
        <w:rPr>
          <w:rFonts w:ascii="Arial" w:cs="Arial" w:eastAsia="Arial" w:hAnsi="Arial"/>
          <w:b w:val="false"/>
          <w:bCs w:val="false"/>
          <w:i w:val="false"/>
          <w:iCs w:val="false"/>
          <w:color w:val="1A1A1A"/>
          <w:sz w:val="20"/>
          <w:szCs w:val="20"/>
        </w:rPr>
        <w:t xml:space="preserve">Disputes between Artist and Backer(s) shall first be referred to the Platform for mediation. If unresolved within 30 days, disputes shall be resolved by arbitration under the Arbitration and Conciliation Act, 1996, at [City, India].</w:t>
      </w:r>
    </w:p>
    <w:p>
      <w:pPr>
        <w:pStyle w:val="Heading1"/>
        <w:spacing w:before="360" w:after="200"/>
      </w:pPr>
      <w:r>
        <w:rPr>
          <w:rFonts w:ascii="Arial" w:cs="Arial" w:eastAsia="Arial" w:hAnsi="Arial"/>
          <w:b/>
          <w:bCs/>
          <w:color w:val="2E4057"/>
          <w:sz w:val="28"/>
          <w:szCs w:val="28"/>
        </w:rPr>
        <w:t xml:space="preserve">10. Governing Law</w:t>
      </w:r>
    </w:p>
    <w:p>
      <w:pPr>
        <w:spacing w:after="160" w:line="276"/>
        <w:jc w:val="left"/>
      </w:pPr>
      <w:r>
        <w:rPr>
          <w:rFonts w:ascii="Arial" w:cs="Arial" w:eastAsia="Arial" w:hAnsi="Arial"/>
          <w:b w:val="false"/>
          <w:bCs w:val="false"/>
          <w:i w:val="false"/>
          <w:iCs w:val="false"/>
          <w:color w:val="1A1A1A"/>
          <w:sz w:val="20"/>
          <w:szCs w:val="20"/>
        </w:rPr>
        <w:t xml:space="preserve">This Agreement is governed by the laws of India.</w:t>
      </w:r>
    </w:p>
    <w:p>
      <w:pPr>
        <w:spacing w:after="80"/>
      </w:pPr>
    </w:p>
    <w:p>
      <w:pPr>
        <w:spacing w:after="160" w:line="276"/>
        <w:jc w:val="left"/>
      </w:pPr>
      <w:r>
        <w:rPr>
          <w:rFonts w:ascii="Arial" w:cs="Arial" w:eastAsia="Arial" w:hAnsi="Arial"/>
          <w:b/>
          <w:bCs/>
          <w:i w:val="false"/>
          <w:iCs w:val="false"/>
          <w:color w:val="1A1A1A"/>
          <w:sz w:val="20"/>
          <w:szCs w:val="20"/>
        </w:rPr>
        <w:t xml:space="preserve">IN WITNESS WHEREOF, the parties have executed this Agreement.</w:t>
      </w:r>
    </w:p>
    <w:p>
      <w:pPr>
        <w:spacing w:after="80"/>
      </w:pPr>
    </w:p>
    <w:p>
      <w:pPr>
        <w:spacing w:after="80"/>
      </w:pPr>
    </w:p>
    <w:p>
      <w:pPr>
        <w:spacing w:after="160" w:line="276"/>
        <w:jc w:val="left"/>
      </w:pPr>
      <w:r>
        <w:rPr>
          <w:rFonts w:ascii="Arial" w:cs="Arial" w:eastAsia="Arial" w:hAnsi="Arial"/>
          <w:b/>
          <w:bCs/>
          <w:i w:val="false"/>
          <w:iCs w:val="false"/>
          <w:color w:val="1A1A1A"/>
          <w:sz w:val="20"/>
          <w:szCs w:val="20"/>
        </w:rPr>
        <w:t xml:space="preserve">For and on behalf of: Artist</w:t>
      </w:r>
    </w:p>
    <w:p>
      <w:pPr>
        <w:spacing w:after="80"/>
      </w:pPr>
    </w:p>
    <w:p>
      <w:pPr>
        <w:spacing w:after="160" w:line="276"/>
        <w:jc w:val="left"/>
      </w:pPr>
      <w:r>
        <w:rPr>
          <w:rFonts w:ascii="Arial" w:cs="Arial" w:eastAsia="Arial" w:hAnsi="Arial"/>
          <w:b w:val="false"/>
          <w:bCs w:val="false"/>
          <w:i w:val="false"/>
          <w:iCs w:val="false"/>
          <w:color w:val="1A1A1A"/>
          <w:sz w:val="20"/>
          <w:szCs w:val="20"/>
        </w:rPr>
        <w:t xml:space="preserve">Signature: ____________________________</w:t>
      </w:r>
    </w:p>
    <w:p>
      <w:pPr>
        <w:spacing w:after="160" w:line="276"/>
        <w:jc w:val="left"/>
      </w:pPr>
      <w:r>
        <w:rPr>
          <w:rFonts w:ascii="Arial" w:cs="Arial" w:eastAsia="Arial" w:hAnsi="Arial"/>
          <w:b w:val="false"/>
          <w:bCs w:val="false"/>
          <w:i w:val="false"/>
          <w:iCs w:val="false"/>
          <w:color w:val="1A1A1A"/>
          <w:sz w:val="20"/>
          <w:szCs w:val="20"/>
        </w:rPr>
        <w:t xml:space="preserve">Name: ____________________________</w:t>
      </w:r>
    </w:p>
    <w:p>
      <w:pPr>
        <w:spacing w:after="160" w:line="276"/>
        <w:jc w:val="left"/>
      </w:pPr>
      <w:r>
        <w:rPr>
          <w:rFonts w:ascii="Arial" w:cs="Arial" w:eastAsia="Arial" w:hAnsi="Arial"/>
          <w:b w:val="false"/>
          <w:bCs w:val="false"/>
          <w:i w:val="false"/>
          <w:iCs w:val="false"/>
          <w:color w:val="1A1A1A"/>
          <w:sz w:val="20"/>
          <w:szCs w:val="20"/>
        </w:rPr>
        <w:t xml:space="preserve">Date: ____________________________</w:t>
      </w:r>
    </w:p>
    <w:p>
      <w:pPr>
        <w:spacing w:after="80"/>
      </w:pPr>
    </w:p>
    <w:p>
      <w:pPr>
        <w:spacing w:after="80"/>
      </w:pPr>
    </w:p>
    <w:p>
      <w:pPr>
        <w:spacing w:after="160" w:line="276"/>
        <w:jc w:val="left"/>
      </w:pPr>
      <w:r>
        <w:rPr>
          <w:rFonts w:ascii="Arial" w:cs="Arial" w:eastAsia="Arial" w:hAnsi="Arial"/>
          <w:b/>
          <w:bCs/>
          <w:i w:val="false"/>
          <w:iCs w:val="false"/>
          <w:color w:val="1A1A1A"/>
          <w:sz w:val="20"/>
          <w:szCs w:val="20"/>
        </w:rPr>
        <w:t xml:space="preserve">For and on behalf of: Backer</w:t>
      </w:r>
    </w:p>
    <w:p>
      <w:pPr>
        <w:spacing w:after="80"/>
      </w:pPr>
    </w:p>
    <w:p>
      <w:pPr>
        <w:spacing w:after="160" w:line="276"/>
        <w:jc w:val="left"/>
      </w:pPr>
      <w:r>
        <w:rPr>
          <w:rFonts w:ascii="Arial" w:cs="Arial" w:eastAsia="Arial" w:hAnsi="Arial"/>
          <w:b w:val="false"/>
          <w:bCs w:val="false"/>
          <w:i w:val="false"/>
          <w:iCs w:val="false"/>
          <w:color w:val="1A1A1A"/>
          <w:sz w:val="20"/>
          <w:szCs w:val="20"/>
        </w:rPr>
        <w:t xml:space="preserve">Signature: ____________________________</w:t>
      </w:r>
    </w:p>
    <w:p>
      <w:pPr>
        <w:spacing w:after="160" w:line="276"/>
        <w:jc w:val="left"/>
      </w:pPr>
      <w:r>
        <w:rPr>
          <w:rFonts w:ascii="Arial" w:cs="Arial" w:eastAsia="Arial" w:hAnsi="Arial"/>
          <w:b w:val="false"/>
          <w:bCs w:val="false"/>
          <w:i w:val="false"/>
          <w:iCs w:val="false"/>
          <w:color w:val="1A1A1A"/>
          <w:sz w:val="20"/>
          <w:szCs w:val="20"/>
        </w:rPr>
        <w:t xml:space="preserve">Name: ____________________________</w:t>
      </w:r>
    </w:p>
    <w:p>
      <w:pPr>
        <w:spacing w:after="160" w:line="276"/>
        <w:jc w:val="left"/>
      </w:pPr>
      <w:r>
        <w:rPr>
          <w:rFonts w:ascii="Arial" w:cs="Arial" w:eastAsia="Arial" w:hAnsi="Arial"/>
          <w:b w:val="false"/>
          <w:bCs w:val="false"/>
          <w:i w:val="false"/>
          <w:iCs w:val="false"/>
          <w:color w:val="1A1A1A"/>
          <w:sz w:val="20"/>
          <w:szCs w:val="20"/>
        </w:rPr>
        <w:t xml:space="preserve">Date: ____________________________</w:t>
      </w:r>
    </w:p>
    <w:p>
      <w:pPr>
        <w:spacing w:after="160" w:line="276"/>
        <w:jc w:val="left"/>
      </w:pPr>
      <w:r>
        <w:rPr>
          <w:rFonts w:ascii="Arial" w:cs="Arial" w:eastAsia="Arial" w:hAnsi="Arial"/>
          <w:b w:val="false"/>
          <w:bCs w:val="false"/>
          <w:i/>
          <w:iCs/>
          <w:color w:val="1A1A1A"/>
          <w:sz w:val="20"/>
          <w:szCs w:val="20"/>
        </w:rPr>
        <w:t xml:space="preserve">Acknowledged by Platform (as facilitator, not a party to the obligations):</w:t>
      </w:r>
    </w:p>
    <w:p>
      <w:pPr>
        <w:spacing w:after="80"/>
      </w:pPr>
    </w:p>
    <w:p>
      <w:pPr>
        <w:spacing w:after="80"/>
      </w:pPr>
    </w:p>
    <w:p>
      <w:pPr>
        <w:spacing w:after="160" w:line="276"/>
        <w:jc w:val="left"/>
      </w:pPr>
      <w:r>
        <w:rPr>
          <w:rFonts w:ascii="Arial" w:cs="Arial" w:eastAsia="Arial" w:hAnsi="Arial"/>
          <w:b/>
          <w:bCs/>
          <w:i w:val="false"/>
          <w:iCs w:val="false"/>
          <w:color w:val="1A1A1A"/>
          <w:sz w:val="20"/>
          <w:szCs w:val="20"/>
        </w:rPr>
        <w:t xml:space="preserve">For and on behalf of: Platform</w:t>
      </w:r>
    </w:p>
    <w:p>
      <w:pPr>
        <w:spacing w:after="80"/>
      </w:pPr>
    </w:p>
    <w:p>
      <w:pPr>
        <w:spacing w:after="160" w:line="276"/>
        <w:jc w:val="left"/>
      </w:pPr>
      <w:r>
        <w:rPr>
          <w:rFonts w:ascii="Arial" w:cs="Arial" w:eastAsia="Arial" w:hAnsi="Arial"/>
          <w:b w:val="false"/>
          <w:bCs w:val="false"/>
          <w:i w:val="false"/>
          <w:iCs w:val="false"/>
          <w:color w:val="1A1A1A"/>
          <w:sz w:val="20"/>
          <w:szCs w:val="20"/>
        </w:rPr>
        <w:t xml:space="preserve">Signature: ____________________________</w:t>
      </w:r>
    </w:p>
    <w:p>
      <w:pPr>
        <w:spacing w:after="160" w:line="276"/>
        <w:jc w:val="left"/>
      </w:pPr>
      <w:r>
        <w:rPr>
          <w:rFonts w:ascii="Arial" w:cs="Arial" w:eastAsia="Arial" w:hAnsi="Arial"/>
          <w:b w:val="false"/>
          <w:bCs w:val="false"/>
          <w:i w:val="false"/>
          <w:iCs w:val="false"/>
          <w:color w:val="1A1A1A"/>
          <w:sz w:val="20"/>
          <w:szCs w:val="20"/>
        </w:rPr>
        <w:t xml:space="preserve">Name: ____________________________</w:t>
      </w:r>
    </w:p>
    <w:p>
      <w:pPr>
        <w:spacing w:after="160" w:line="276"/>
        <w:jc w:val="left"/>
      </w:pPr>
      <w:r>
        <w:rPr>
          <w:rFonts w:ascii="Arial" w:cs="Arial" w:eastAsia="Arial" w:hAnsi="Arial"/>
          <w:b w:val="false"/>
          <w:bCs w:val="false"/>
          <w:i w:val="false"/>
          <w:iCs w:val="false"/>
          <w:color w:val="1A1A1A"/>
          <w:sz w:val="20"/>
          <w:szCs w:val="20"/>
        </w:rPr>
        <w:t xml:space="preserve">Date: ____________________________</w:t>
      </w:r>
    </w:p>
    <w:p>
      <w:pPr>
        <w:sectPr>
          <w:headerReference w:type="default" r:id="rId8"/>
          <w:footerReference w:type="default" r:id="rId9"/>
          <w:pgSz w:w="11906" w:h="16838" w:orient="portrait"/>
          <w:pgMar w:top="1440" w:right="1440" w:bottom="1440" w:left="1440" w:header="708" w:footer="708" w:gutter="0"/>
          <w:pgNumType/>
          <w:docGrid w:linePitch="360"/>
        </w:sectPr>
      </w:pPr>
    </w:p>
    <w:p>
      <w:pPr>
        <w:spacing w:after="120"/>
        <w:jc w:val="center"/>
      </w:pPr>
      <w:r>
        <w:rPr>
          <w:rFonts w:ascii="Arial" w:cs="Arial" w:eastAsia="Arial" w:hAnsi="Arial"/>
          <w:b/>
          <w:bCs/>
          <w:color w:val="666666"/>
          <w:sz w:val="18"/>
          <w:szCs w:val="18"/>
        </w:rPr>
        <w:t xml:space="preserve">DOCUMENT 3</w:t>
      </w:r>
    </w:p>
    <w:p>
      <w:pPr>
        <w:spacing w:after="120"/>
        <w:jc w:val="center"/>
      </w:pPr>
      <w:r>
        <w:rPr>
          <w:rFonts w:ascii="Arial" w:cs="Arial" w:eastAsia="Arial" w:hAnsi="Arial"/>
          <w:b/>
          <w:bCs/>
          <w:color w:val="2E4057"/>
          <w:sz w:val="32"/>
          <w:szCs w:val="32"/>
        </w:rPr>
        <w:t xml:space="preserve">CAMPAIGN TERM SHEET</w:t>
      </w:r>
    </w:p>
    <w:p>
      <w:pPr>
        <w:spacing w:after="300"/>
        <w:jc w:val="center"/>
      </w:pPr>
      <w:r>
        <w:rPr>
          <w:rFonts w:ascii="Arial" w:cs="Arial" w:eastAsia="Arial" w:hAnsi="Arial"/>
          <w:i/>
          <w:iCs/>
          <w:color w:val="666666"/>
          <w:sz w:val="20"/>
          <w:szCs w:val="20"/>
        </w:rPr>
        <w:t xml:space="preserve">Schedule to Campaign Funding Agreement (Document 2)</w:t>
      </w:r>
    </w:p>
    <w:p>
      <w:pPr>
        <w:pStyle w:val="Heading1"/>
        <w:spacing w:before="360" w:after="200"/>
      </w:pPr>
      <w:r>
        <w:rPr>
          <w:rFonts w:ascii="Arial" w:cs="Arial" w:eastAsia="Arial" w:hAnsi="Arial"/>
          <w:b/>
          <w:bCs/>
          <w:color w:val="2E4057"/>
          <w:sz w:val="28"/>
          <w:szCs w:val="28"/>
        </w:rPr>
        <w:t xml:space="preserve">A. Campaign Identity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5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Campaign ID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[Auto-generated by Platform]</w:t>
            </w:r>
          </w:p>
        </w:tc>
      </w:tr>
      <w:tr>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Campaign Name</w:t>
            </w:r>
          </w:p>
        </w:tc>
        <w:tc>
          <w:tcPr>
            <w:tcW w:type="dxa" w:w="55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[e.g. "Track X Promotion - Artist 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 Created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w:t>
            </w:r>
          </w:p>
        </w:tc>
      </w:tr>
      <w:tr>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Status</w:t>
            </w:r>
          </w:p>
        </w:tc>
        <w:tc>
          <w:tcPr>
            <w:tcW w:type="dxa" w:w="55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Draft / Active / Closed</w:t>
            </w:r>
          </w:p>
        </w:tc>
      </w:tr>
    </w:tbl>
    <w:p>
      <w:pPr>
        <w:spacing w:after="80"/>
      </w:pPr>
    </w:p>
    <w:p>
      <w:pPr>
        <w:pStyle w:val="Heading1"/>
        <w:spacing w:before="360" w:after="200"/>
      </w:pPr>
      <w:r>
        <w:rPr>
          <w:rFonts w:ascii="Arial" w:cs="Arial" w:eastAsia="Arial" w:hAnsi="Arial"/>
          <w:b/>
          <w:bCs/>
          <w:color w:val="2E4057"/>
          <w:sz w:val="28"/>
          <w:szCs w:val="28"/>
        </w:rPr>
        <w:t xml:space="preserve">B. Content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5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YouTube Video URL</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URL]</w:t>
            </w:r>
          </w:p>
        </w:tc>
      </w:tr>
      <w:tr>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YouTube Video ID</w:t>
            </w:r>
          </w:p>
        </w:tc>
        <w:tc>
          <w:tcPr>
            <w:tcW w:type="dxa" w:w="55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[Video ID]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YouTube Channel</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[Channel Name + Channel ID]</w:t>
            </w:r>
          </w:p>
        </w:tc>
      </w:tr>
      <w:tr>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Content Title</w:t>
            </w:r>
          </w:p>
        </w:tc>
        <w:tc>
          <w:tcPr>
            <w:tcW w:type="dxa" w:w="55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[Song / Video Title]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Content Duration</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[Minutes:Seconds]</w:t>
            </w:r>
          </w:p>
        </w:tc>
      </w:tr>
      <w:tr>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YPP Monetisation Status</w:t>
            </w:r>
          </w:p>
        </w:tc>
        <w:tc>
          <w:tcPr>
            <w:tcW w:type="dxa" w:w="55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Confirmed Active / Pending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ISRC (if applicable)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[ISRC Code]</w:t>
            </w:r>
          </w:p>
        </w:tc>
      </w:tr>
    </w:tbl>
    <w:p>
      <w:pPr>
        <w:spacing w:after="80"/>
      </w:pPr>
    </w:p>
    <w:p>
      <w:pPr>
        <w:pStyle w:val="Heading1"/>
        <w:spacing w:before="360" w:after="200"/>
      </w:pPr>
      <w:r>
        <w:rPr>
          <w:rFonts w:ascii="Arial" w:cs="Arial" w:eastAsia="Arial" w:hAnsi="Arial"/>
          <w:b/>
          <w:bCs/>
          <w:color w:val="2E4057"/>
          <w:sz w:val="28"/>
          <w:szCs w:val="28"/>
        </w:rPr>
        <w:t xml:space="preserve">C. Funding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5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Total Campaign Budget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[Amount]</w:t>
            </w:r>
          </w:p>
        </w:tc>
      </w:tr>
      <w:tr>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Artist Co-Pay</w:t>
            </w:r>
          </w:p>
        </w:tc>
        <w:tc>
          <w:tcPr>
            <w:tcW w:type="dxa" w:w="55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 [Amount] ([X]% of total)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Backer Funding Goal</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[Amount]</w:t>
            </w:r>
          </w:p>
        </w:tc>
      </w:tr>
      <w:tr>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Minimum Funding Threshold</w:t>
            </w:r>
          </w:p>
        </w:tc>
        <w:tc>
          <w:tcPr>
            <w:tcW w:type="dxa" w:w="55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 [Amount] (Campaign activates at this level)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Maximum Backers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[Number or "Unlimited"]</w:t>
            </w:r>
          </w:p>
        </w:tc>
      </w:tr>
      <w:tr>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Minimum Backer Commitment</w:t>
            </w:r>
          </w:p>
        </w:tc>
        <w:tc>
          <w:tcPr>
            <w:tcW w:type="dxa" w:w="55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 [Amount]</w:t>
            </w:r>
          </w:p>
        </w:tc>
      </w:tr>
    </w:tbl>
    <w:p>
      <w:pPr>
        <w:spacing w:after="80"/>
      </w:pPr>
    </w:p>
    <w:p>
      <w:pPr>
        <w:pStyle w:val="Heading1"/>
        <w:spacing w:before="360" w:after="200"/>
      </w:pPr>
      <w:r>
        <w:rPr>
          <w:rFonts w:ascii="Arial" w:cs="Arial" w:eastAsia="Arial" w:hAnsi="Arial"/>
          <w:b/>
          <w:bCs/>
          <w:color w:val="2E4057"/>
          <w:sz w:val="28"/>
          <w:szCs w:val="28"/>
        </w:rPr>
        <w:t xml:space="preserve">D. Revenue Share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5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Revenue Share %</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[X]% of incremental YouTube ad revenue</w:t>
            </w:r>
          </w:p>
        </w:tc>
      </w:tr>
      <w:tr>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Revenue Scope</w:t>
            </w:r>
          </w:p>
        </w:tc>
        <w:tc>
          <w:tcPr>
            <w:tcW w:type="dxa" w:w="55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YouTube AdSense revenue on the designated Content only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Baseline Period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 days prior to Campaign launch</w:t>
            </w:r>
          </w:p>
        </w:tc>
      </w:tr>
      <w:tr>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Baseline Daily Revenue</w:t>
            </w:r>
          </w:p>
        </w:tc>
        <w:tc>
          <w:tcPr>
            <w:tcW w:type="dxa" w:w="55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 [Computed at launch]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Cap (Maximum Backer Return)</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[X]x Backer principal (e.g. 1.5x or 2x)</w:t>
            </w:r>
          </w:p>
        </w:tc>
      </w:tr>
      <w:tr>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Tenor</w:t>
            </w:r>
          </w:p>
        </w:tc>
        <w:tc>
          <w:tcPr>
            <w:tcW w:type="dxa" w:w="55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[X] months from Campaign launch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Settlement Frequency</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Monthly</w:t>
            </w:r>
          </w:p>
        </w:tc>
      </w:tr>
      <w:tr>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Settlement Due Date</w:t>
            </w:r>
          </w:p>
        </w:tc>
        <w:tc>
          <w:tcPr>
            <w:tcW w:type="dxa" w:w="55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15 days after Platform settlement report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Late Payment Penalty</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[X]% per month on overdue amounts</w:t>
            </w:r>
          </w:p>
        </w:tc>
      </w:tr>
    </w:tbl>
    <w:p>
      <w:pPr>
        <w:spacing w:after="80"/>
      </w:pPr>
    </w:p>
    <w:p>
      <w:pPr>
        <w:pStyle w:val="Heading1"/>
        <w:spacing w:before="360" w:after="200"/>
      </w:pPr>
      <w:r>
        <w:rPr>
          <w:rFonts w:ascii="Arial" w:cs="Arial" w:eastAsia="Arial" w:hAnsi="Arial"/>
          <w:b/>
          <w:bCs/>
          <w:color w:val="2E4057"/>
          <w:sz w:val="28"/>
          <w:szCs w:val="28"/>
        </w:rPr>
        <w:t xml:space="preserve">E. Escrow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5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Escrow Type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[Designated bank account / Third-party escrow / Other]</w:t>
            </w:r>
          </w:p>
        </w:tc>
      </w:tr>
      <w:tr>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Escrow Controller</w:t>
            </w:r>
          </w:p>
        </w:tc>
        <w:tc>
          <w:tcPr>
            <w:tcW w:type="dxa" w:w="55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[Artist / Named escrow agent]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Escrow Account Details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[Bank, Account No. (last 4 digits), IFSC]</w:t>
            </w:r>
          </w:p>
        </w:tc>
      </w:tr>
      <w:tr>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Permitted Disbursements</w:t>
            </w:r>
          </w:p>
        </w:tc>
        <w:tc>
          <w:tcPr>
            <w:tcW w:type="dxa" w:w="55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Google Ads account: [Account ID]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Proof of Spend Frequency</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[Weekly / Bi-weekly]</w:t>
            </w:r>
          </w:p>
        </w:tc>
      </w:tr>
    </w:tbl>
    <w:p>
      <w:pPr>
        <w:spacing w:after="80"/>
      </w:pPr>
    </w:p>
    <w:p>
      <w:pPr>
        <w:pStyle w:val="Heading1"/>
        <w:spacing w:before="360" w:after="200"/>
      </w:pPr>
      <w:r>
        <w:rPr>
          <w:rFonts w:ascii="Arial" w:cs="Arial" w:eastAsia="Arial" w:hAnsi="Arial"/>
          <w:b/>
          <w:bCs/>
          <w:color w:val="2E4057"/>
          <w:sz w:val="28"/>
          <w:szCs w:val="28"/>
        </w:rPr>
        <w:t xml:space="preserve">F. Ad Campaign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5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 Platform</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Google Ads (YouTube)</w:t>
            </w:r>
          </w:p>
        </w:tc>
      </w:tr>
      <w:tr>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Ad Formats</w:t>
            </w:r>
          </w:p>
        </w:tc>
        <w:tc>
          <w:tcPr>
            <w:tcW w:type="dxa" w:w="55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[Pre-roll / Discovery / Shorts feed / Mix]</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Target Geography</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[India / Specific states / Global]</w:t>
            </w:r>
          </w:p>
        </w:tc>
      </w:tr>
      <w:tr>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Target Audience</w:t>
            </w:r>
          </w:p>
        </w:tc>
        <w:tc>
          <w:tcPr>
            <w:tcW w:type="dxa" w:w="55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[Age, interests, relevant details]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Campaign Duration</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[X] weeks</w:t>
            </w:r>
          </w:p>
        </w:tc>
      </w:tr>
      <w:tr>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Budget Tranches</w:t>
            </w:r>
          </w:p>
        </w:tc>
        <w:tc>
          <w:tcPr>
            <w:tcW w:type="dxa" w:w="55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Tranche 1: ₹[X] at launch; Tranche 2: ₹[X] at [milestone]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Google Ads Account ID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[Account ID]</w:t>
            </w:r>
          </w:p>
        </w:tc>
      </w:tr>
      <w:tr>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Ad Account Access</w:t>
            </w:r>
          </w:p>
        </w:tc>
        <w:tc>
          <w:tcPr>
            <w:tcW w:type="dxa" w:w="55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[Artist-owned / Platform-managed with authorisation]</w:t>
            </w:r>
          </w:p>
        </w:tc>
      </w:tr>
    </w:tbl>
    <w:p>
      <w:pPr>
        <w:spacing w:after="80"/>
      </w:pPr>
    </w:p>
    <w:p>
      <w:pPr>
        <w:pStyle w:val="Heading1"/>
        <w:spacing w:before="360" w:after="200"/>
      </w:pPr>
      <w:r>
        <w:rPr>
          <w:rFonts w:ascii="Arial" w:cs="Arial" w:eastAsia="Arial" w:hAnsi="Arial"/>
          <w:b/>
          <w:bCs/>
          <w:color w:val="2E4057"/>
          <w:sz w:val="28"/>
          <w:szCs w:val="28"/>
        </w:rPr>
        <w:t xml:space="preserve">G. Backer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1800"/>
        <w:gridCol w:w="1926"/>
      </w:tblGrid>
      <w:tr>
        <w:tc>
          <w:tcPr>
            <w:tcW w:type="dxa" w:w="225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Backer Name</w:t>
            </w:r>
          </w:p>
        </w:tc>
        <w:tc>
          <w:tcPr>
            <w:tcW w:type="dxa" w:w="225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Contact / ID</w:t>
            </w:r>
          </w:p>
        </w:tc>
        <w:tc>
          <w:tcPr>
            <w:tcW w:type="dxa" w:w="225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Amount (₹)</w:t>
            </w:r>
          </w:p>
        </w:tc>
        <w:tc>
          <w:tcPr>
            <w:tcW w:type="dxa" w:w="225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Payment Method</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[Email / Phone]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[Amount]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[UPI / Bank Transfer]</w:t>
            </w:r>
          </w:p>
        </w:tc>
      </w:tr>
      <w:tr>
        <w:tc>
          <w:tcPr>
            <w:tcW w:type="dxa" w:w="225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225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[Email / Phone]</w:t>
            </w:r>
          </w:p>
        </w:tc>
        <w:tc>
          <w:tcPr>
            <w:tcW w:type="dxa" w:w="225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[Amount]</w:t>
            </w:r>
          </w:p>
        </w:tc>
        <w:tc>
          <w:tcPr>
            <w:tcW w:type="dxa" w:w="225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A1A1A"/>
                <w:sz w:val="20"/>
                <w:szCs w:val="20"/>
              </w:rPr>
              <w:t xml:space="preserve">[UPI / Bank Transfer]</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[Email / Phone]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[Amount]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[UPI / Bank Transfer]</w:t>
            </w:r>
          </w:p>
        </w:tc>
      </w:tr>
    </w:tbl>
    <w:p>
      <w:pPr>
        <w:spacing w:after="80"/>
      </w:pPr>
    </w:p>
    <w:p>
      <w:pPr>
        <w:pStyle w:val="Heading1"/>
        <w:spacing w:before="360" w:after="200"/>
      </w:pPr>
      <w:r>
        <w:rPr>
          <w:rFonts w:ascii="Arial" w:cs="Arial" w:eastAsia="Arial" w:hAnsi="Arial"/>
          <w:b/>
          <w:bCs/>
          <w:color w:val="2E4057"/>
          <w:sz w:val="28"/>
          <w:szCs w:val="28"/>
        </w:rPr>
        <w:t xml:space="preserve">H. Conditional Security Licence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5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Conditional Security Elected?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[Yes / No]</w:t>
            </w:r>
          </w:p>
        </w:tc>
      </w:tr>
      <w:tr>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Scope (if Yes)</w:t>
            </w:r>
          </w:p>
        </w:tc>
        <w:tc>
          <w:tcPr>
            <w:tcW w:type="dxa" w:w="55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Limited to Content identified in Section 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Activation Trigger</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Event of Default as per Document 1, Clause 7</w:t>
            </w:r>
          </w:p>
        </w:tc>
      </w:tr>
      <w:tr>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Automatic Reversion</w:t>
            </w:r>
          </w:p>
        </w:tc>
        <w:tc>
          <w:tcPr>
            <w:tcW w:type="dxa" w:w="5526"/>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Upon full settlement or Campaign tenor expiry</w:t>
            </w:r>
          </w:p>
        </w:tc>
      </w:tr>
    </w:tbl>
    <w:p>
      <w:pPr>
        <w:spacing w:after="80"/>
      </w:pPr>
    </w:p>
    <w:p>
      <w:pPr>
        <w:pStyle w:val="Heading1"/>
        <w:spacing w:before="360" w:after="200"/>
      </w:pPr>
      <w:r>
        <w:rPr>
          <w:rFonts w:ascii="Arial" w:cs="Arial" w:eastAsia="Arial" w:hAnsi="Arial"/>
          <w:b/>
          <w:bCs/>
          <w:color w:val="2E4057"/>
          <w:sz w:val="28"/>
          <w:szCs w:val="28"/>
        </w:rPr>
        <w:t xml:space="preserve">I. Acknowledgement and Execution</w:t>
      </w:r>
    </w:p>
    <w:p>
      <w:pPr>
        <w:spacing w:after="160" w:line="276"/>
        <w:jc w:val="left"/>
      </w:pPr>
      <w:r>
        <w:rPr>
          <w:rFonts w:ascii="Arial" w:cs="Arial" w:eastAsia="Arial" w:hAnsi="Arial"/>
          <w:b w:val="false"/>
          <w:bCs w:val="false"/>
          <w:i w:val="false"/>
          <w:iCs w:val="false"/>
          <w:color w:val="1A1A1A"/>
          <w:sz w:val="20"/>
          <w:szCs w:val="20"/>
        </w:rPr>
        <w:t xml:space="preserve">By signing below, all parties confirm they have read, understood, and agreed to the terms of this Campaign Term Sheet and the Campaign Funding Agreement (Document 2) and Platform Terms of Service (Document 1) incorporated by reference.</w:t>
      </w:r>
    </w:p>
    <w:p>
      <w:pPr>
        <w:spacing w:after="80"/>
      </w:pPr>
    </w:p>
    <w:p>
      <w:pPr>
        <w:spacing w:after="80"/>
      </w:pPr>
    </w:p>
    <w:p>
      <w:pPr>
        <w:spacing w:after="80"/>
      </w:pPr>
    </w:p>
    <w:p>
      <w:pPr>
        <w:spacing w:after="160" w:line="276"/>
        <w:jc w:val="left"/>
      </w:pPr>
      <w:r>
        <w:rPr>
          <w:rFonts w:ascii="Arial" w:cs="Arial" w:eastAsia="Arial" w:hAnsi="Arial"/>
          <w:b/>
          <w:bCs/>
          <w:i w:val="false"/>
          <w:iCs w:val="false"/>
          <w:color w:val="1A1A1A"/>
          <w:sz w:val="20"/>
          <w:szCs w:val="20"/>
        </w:rPr>
        <w:t xml:space="preserve">For and on behalf of: Artist</w:t>
      </w:r>
    </w:p>
    <w:p>
      <w:pPr>
        <w:spacing w:after="80"/>
      </w:pPr>
    </w:p>
    <w:p>
      <w:pPr>
        <w:spacing w:after="160" w:line="276"/>
        <w:jc w:val="left"/>
      </w:pPr>
      <w:r>
        <w:rPr>
          <w:rFonts w:ascii="Arial" w:cs="Arial" w:eastAsia="Arial" w:hAnsi="Arial"/>
          <w:b w:val="false"/>
          <w:bCs w:val="false"/>
          <w:i w:val="false"/>
          <w:iCs w:val="false"/>
          <w:color w:val="1A1A1A"/>
          <w:sz w:val="20"/>
          <w:szCs w:val="20"/>
        </w:rPr>
        <w:t xml:space="preserve">Signature: ____________________________</w:t>
      </w:r>
    </w:p>
    <w:p>
      <w:pPr>
        <w:spacing w:after="160" w:line="276"/>
        <w:jc w:val="left"/>
      </w:pPr>
      <w:r>
        <w:rPr>
          <w:rFonts w:ascii="Arial" w:cs="Arial" w:eastAsia="Arial" w:hAnsi="Arial"/>
          <w:b w:val="false"/>
          <w:bCs w:val="false"/>
          <w:i w:val="false"/>
          <w:iCs w:val="false"/>
          <w:color w:val="1A1A1A"/>
          <w:sz w:val="20"/>
          <w:szCs w:val="20"/>
        </w:rPr>
        <w:t xml:space="preserve">Name: ____________________________</w:t>
      </w:r>
    </w:p>
    <w:p>
      <w:pPr>
        <w:spacing w:after="160" w:line="276"/>
        <w:jc w:val="left"/>
      </w:pPr>
      <w:r>
        <w:rPr>
          <w:rFonts w:ascii="Arial" w:cs="Arial" w:eastAsia="Arial" w:hAnsi="Arial"/>
          <w:b w:val="false"/>
          <w:bCs w:val="false"/>
          <w:i w:val="false"/>
          <w:iCs w:val="false"/>
          <w:color w:val="1A1A1A"/>
          <w:sz w:val="20"/>
          <w:szCs w:val="20"/>
        </w:rPr>
        <w:t xml:space="preserve">Date: ____________________________</w:t>
      </w:r>
    </w:p>
    <w:p>
      <w:pPr>
        <w:spacing w:after="80"/>
      </w:pPr>
    </w:p>
    <w:p>
      <w:pPr>
        <w:spacing w:after="80"/>
      </w:pPr>
    </w:p>
    <w:p>
      <w:pPr>
        <w:spacing w:after="160" w:line="276"/>
        <w:jc w:val="left"/>
      </w:pPr>
      <w:r>
        <w:rPr>
          <w:rFonts w:ascii="Arial" w:cs="Arial" w:eastAsia="Arial" w:hAnsi="Arial"/>
          <w:b/>
          <w:bCs/>
          <w:i w:val="false"/>
          <w:iCs w:val="false"/>
          <w:color w:val="1A1A1A"/>
          <w:sz w:val="20"/>
          <w:szCs w:val="20"/>
        </w:rPr>
        <w:t xml:space="preserve">For and on behalf of: Backer 1</w:t>
      </w:r>
    </w:p>
    <w:p>
      <w:pPr>
        <w:spacing w:after="80"/>
      </w:pPr>
    </w:p>
    <w:p>
      <w:pPr>
        <w:spacing w:after="160" w:line="276"/>
        <w:jc w:val="left"/>
      </w:pPr>
      <w:r>
        <w:rPr>
          <w:rFonts w:ascii="Arial" w:cs="Arial" w:eastAsia="Arial" w:hAnsi="Arial"/>
          <w:b w:val="false"/>
          <w:bCs w:val="false"/>
          <w:i w:val="false"/>
          <w:iCs w:val="false"/>
          <w:color w:val="1A1A1A"/>
          <w:sz w:val="20"/>
          <w:szCs w:val="20"/>
        </w:rPr>
        <w:t xml:space="preserve">Signature: ____________________________</w:t>
      </w:r>
    </w:p>
    <w:p>
      <w:pPr>
        <w:spacing w:after="160" w:line="276"/>
        <w:jc w:val="left"/>
      </w:pPr>
      <w:r>
        <w:rPr>
          <w:rFonts w:ascii="Arial" w:cs="Arial" w:eastAsia="Arial" w:hAnsi="Arial"/>
          <w:b w:val="false"/>
          <w:bCs w:val="false"/>
          <w:i w:val="false"/>
          <w:iCs w:val="false"/>
          <w:color w:val="1A1A1A"/>
          <w:sz w:val="20"/>
          <w:szCs w:val="20"/>
        </w:rPr>
        <w:t xml:space="preserve">Name: ____________________________</w:t>
      </w:r>
    </w:p>
    <w:p>
      <w:pPr>
        <w:spacing w:after="160" w:line="276"/>
        <w:jc w:val="left"/>
      </w:pPr>
      <w:r>
        <w:rPr>
          <w:rFonts w:ascii="Arial" w:cs="Arial" w:eastAsia="Arial" w:hAnsi="Arial"/>
          <w:b w:val="false"/>
          <w:bCs w:val="false"/>
          <w:i w:val="false"/>
          <w:iCs w:val="false"/>
          <w:color w:val="1A1A1A"/>
          <w:sz w:val="20"/>
          <w:szCs w:val="20"/>
        </w:rPr>
        <w:t xml:space="preserve">Date: ____________________________</w:t>
      </w:r>
    </w:p>
    <w:p>
      <w:pPr>
        <w:spacing w:after="80"/>
      </w:pPr>
    </w:p>
    <w:p>
      <w:pPr>
        <w:spacing w:after="80"/>
      </w:pPr>
    </w:p>
    <w:p>
      <w:pPr>
        <w:spacing w:after="160" w:line="276"/>
        <w:jc w:val="left"/>
      </w:pPr>
      <w:r>
        <w:rPr>
          <w:rFonts w:ascii="Arial" w:cs="Arial" w:eastAsia="Arial" w:hAnsi="Arial"/>
          <w:b/>
          <w:bCs/>
          <w:i w:val="false"/>
          <w:iCs w:val="false"/>
          <w:color w:val="1A1A1A"/>
          <w:sz w:val="20"/>
          <w:szCs w:val="20"/>
        </w:rPr>
        <w:t xml:space="preserve">For and on behalf of: Backer 2 (if applicable)</w:t>
      </w:r>
    </w:p>
    <w:p>
      <w:pPr>
        <w:spacing w:after="80"/>
      </w:pPr>
    </w:p>
    <w:p>
      <w:pPr>
        <w:spacing w:after="160" w:line="276"/>
        <w:jc w:val="left"/>
      </w:pPr>
      <w:r>
        <w:rPr>
          <w:rFonts w:ascii="Arial" w:cs="Arial" w:eastAsia="Arial" w:hAnsi="Arial"/>
          <w:b w:val="false"/>
          <w:bCs w:val="false"/>
          <w:i w:val="false"/>
          <w:iCs w:val="false"/>
          <w:color w:val="1A1A1A"/>
          <w:sz w:val="20"/>
          <w:szCs w:val="20"/>
        </w:rPr>
        <w:t xml:space="preserve">Signature: ____________________________</w:t>
      </w:r>
    </w:p>
    <w:p>
      <w:pPr>
        <w:spacing w:after="160" w:line="276"/>
        <w:jc w:val="left"/>
      </w:pPr>
      <w:r>
        <w:rPr>
          <w:rFonts w:ascii="Arial" w:cs="Arial" w:eastAsia="Arial" w:hAnsi="Arial"/>
          <w:b w:val="false"/>
          <w:bCs w:val="false"/>
          <w:i w:val="false"/>
          <w:iCs w:val="false"/>
          <w:color w:val="1A1A1A"/>
          <w:sz w:val="20"/>
          <w:szCs w:val="20"/>
        </w:rPr>
        <w:t xml:space="preserve">Name: ____________________________</w:t>
      </w:r>
    </w:p>
    <w:p>
      <w:pPr>
        <w:spacing w:after="160" w:line="276"/>
        <w:jc w:val="left"/>
      </w:pPr>
      <w:r>
        <w:rPr>
          <w:rFonts w:ascii="Arial" w:cs="Arial" w:eastAsia="Arial" w:hAnsi="Arial"/>
          <w:b w:val="false"/>
          <w:bCs w:val="false"/>
          <w:i w:val="false"/>
          <w:iCs w:val="false"/>
          <w:color w:val="1A1A1A"/>
          <w:sz w:val="20"/>
          <w:szCs w:val="20"/>
        </w:rPr>
        <w:t xml:space="preserve">Date: ____________________________</w:t>
      </w:r>
    </w:p>
    <w:p>
      <w:pPr>
        <w:spacing w:after="80"/>
      </w:pPr>
    </w:p>
    <w:p>
      <w:pPr>
        <w:spacing w:after="160" w:line="276"/>
        <w:jc w:val="left"/>
      </w:pPr>
      <w:r>
        <w:rPr>
          <w:rFonts w:ascii="Arial" w:cs="Arial" w:eastAsia="Arial" w:hAnsi="Arial"/>
          <w:b w:val="false"/>
          <w:bCs w:val="false"/>
          <w:i/>
          <w:iCs/>
          <w:color w:val="1A1A1A"/>
          <w:sz w:val="20"/>
          <w:szCs w:val="20"/>
        </w:rPr>
        <w:t xml:space="preserve">Acknowledged by Platform:</w:t>
      </w:r>
    </w:p>
    <w:p>
      <w:pPr>
        <w:spacing w:after="80"/>
      </w:pPr>
    </w:p>
    <w:p>
      <w:pPr>
        <w:spacing w:after="80"/>
      </w:pPr>
    </w:p>
    <w:p>
      <w:pPr>
        <w:spacing w:after="160" w:line="276"/>
        <w:jc w:val="left"/>
      </w:pPr>
      <w:r>
        <w:rPr>
          <w:rFonts w:ascii="Arial" w:cs="Arial" w:eastAsia="Arial" w:hAnsi="Arial"/>
          <w:b/>
          <w:bCs/>
          <w:i w:val="false"/>
          <w:iCs w:val="false"/>
          <w:color w:val="1A1A1A"/>
          <w:sz w:val="20"/>
          <w:szCs w:val="20"/>
        </w:rPr>
        <w:t xml:space="preserve">For and on behalf of: Platform</w:t>
      </w:r>
    </w:p>
    <w:p>
      <w:pPr>
        <w:spacing w:after="80"/>
      </w:pPr>
    </w:p>
    <w:p>
      <w:pPr>
        <w:spacing w:after="160" w:line="276"/>
        <w:jc w:val="left"/>
      </w:pPr>
      <w:r>
        <w:rPr>
          <w:rFonts w:ascii="Arial" w:cs="Arial" w:eastAsia="Arial" w:hAnsi="Arial"/>
          <w:b w:val="false"/>
          <w:bCs w:val="false"/>
          <w:i w:val="false"/>
          <w:iCs w:val="false"/>
          <w:color w:val="1A1A1A"/>
          <w:sz w:val="20"/>
          <w:szCs w:val="20"/>
        </w:rPr>
        <w:t xml:space="preserve">Signature: ____________________________</w:t>
      </w:r>
    </w:p>
    <w:p>
      <w:pPr>
        <w:spacing w:after="160" w:line="276"/>
        <w:jc w:val="left"/>
      </w:pPr>
      <w:r>
        <w:rPr>
          <w:rFonts w:ascii="Arial" w:cs="Arial" w:eastAsia="Arial" w:hAnsi="Arial"/>
          <w:b w:val="false"/>
          <w:bCs w:val="false"/>
          <w:i w:val="false"/>
          <w:iCs w:val="false"/>
          <w:color w:val="1A1A1A"/>
          <w:sz w:val="20"/>
          <w:szCs w:val="20"/>
        </w:rPr>
        <w:t xml:space="preserve">Name: ____________________________</w:t>
      </w:r>
    </w:p>
    <w:p>
      <w:pPr>
        <w:spacing w:after="160" w:line="276"/>
        <w:jc w:val="left"/>
      </w:pPr>
      <w:r>
        <w:rPr>
          <w:rFonts w:ascii="Arial" w:cs="Arial" w:eastAsia="Arial" w:hAnsi="Arial"/>
          <w:b w:val="false"/>
          <w:bCs w:val="false"/>
          <w:i w:val="false"/>
          <w:iCs w:val="false"/>
          <w:color w:val="1A1A1A"/>
          <w:sz w:val="20"/>
          <w:szCs w:val="20"/>
        </w:rPr>
        <w:t xml:space="preserve">Date: ____________________________</w:t>
      </w:r>
    </w:p>
    <w:sectPr>
      <w:headerReference w:type="default" r:id="rId10"/>
      <w:footerReference w:type="default" r:id="rId11"/>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Platform Terms of Service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Campaign Funding Agreement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Campaign Term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0"/>
    <w:lvlOverride w:ilvl="0">
      <w:startOverride w:val="1"/>
    </w:lvlOverride>
  </w:num>
  <w:num w:numId="4">
    <w:abstractNumId w:val="3"/>
    <w:lvlOverride w:ilvl="0">
      <w:startOverride w:val="1"/>
    </w:lvlOverride>
  </w:num>
  <w:num w:numId="5">
    <w:abstractNumId w:val="4"/>
    <w:lvlOverride w:ilvl="0">
      <w:startOverride w:val="1"/>
    </w:lvlOverride>
  </w:num>
  <w:num w:numId="6">
    <w:abstractNumId w:val="11"/>
    <w:lvlOverride w:ilvl="0">
      <w:startOverride w:val="1"/>
    </w:lvlOverride>
  </w:num>
  <w:num w:numId="7">
    <w:abstractNumId w:val="5"/>
    <w:lvlOverride w:ilvl="0">
      <w:startOverride w:val="1"/>
    </w:lvlOverride>
  </w:num>
  <w:num w:numId="8">
    <w:abstractNumId w:val="12"/>
    <w:lvlOverride w:ilvl="0">
      <w:startOverride w:val="1"/>
    </w:lvlOverride>
  </w:num>
  <w:num w:numId="9">
    <w:abstractNumId w:val="6"/>
    <w:lvlOverride w:ilvl="0">
      <w:startOverride w:val="1"/>
    </w:lvlOverride>
  </w:num>
  <w:num w:numId="10">
    <w:abstractNumId w:val="7"/>
    <w:lvlOverride w:ilvl="0">
      <w:startOverride w:val="1"/>
    </w:lvlOverride>
  </w:num>
  <w:num w:numId="11">
    <w:abstractNumId w:val="8"/>
    <w:lvlOverride w:ilvl="0">
      <w:startOverride w:val="1"/>
    </w:lvlOverride>
  </w:num>
  <w:num w:numId="12">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4057"/>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2026-02-13T18:09:19.036Z</dcterms:created>
  <dcterms:modified xsi:type="dcterms:W3CDTF">2026-02-13T18:09:19.037Z</dcterms:modified>
</cp:coreProperties>
</file>

<file path=docProps/custom.xml><?xml version="1.0" encoding="utf-8"?>
<Properties xmlns="http://schemas.openxmlformats.org/officeDocument/2006/custom-properties" xmlns:vt="http://schemas.openxmlformats.org/officeDocument/2006/docPropsVTypes"/>
</file>