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E428" w14:textId="77777777" w:rsidR="003A7B1E" w:rsidRDefault="00000000">
      <w:pPr>
        <w:spacing w:before="1440" w:after="80"/>
      </w:pPr>
      <w:r>
        <w:rPr>
          <w:b/>
          <w:bCs/>
          <w:caps/>
          <w:color w:val="2563EB"/>
          <w:sz w:val="28"/>
          <w:szCs w:val="28"/>
        </w:rPr>
        <w:t>BRAND STRATEGY &amp; CONVERSION PLAYBOOK</w:t>
      </w:r>
    </w:p>
    <w:p w14:paraId="1379A58E" w14:textId="77777777" w:rsidR="003A7B1E" w:rsidRDefault="00000000">
      <w:pPr>
        <w:spacing w:after="240"/>
      </w:pPr>
      <w:r>
        <w:rPr>
          <w:b/>
          <w:bCs/>
          <w:color w:val="0A0A0B"/>
          <w:sz w:val="52"/>
          <w:szCs w:val="52"/>
        </w:rPr>
        <w:t>Nsikakobong Ubom — AI Product Portfolio</w:t>
      </w:r>
    </w:p>
    <w:p w14:paraId="3CD0F5F4" w14:textId="378E1045" w:rsidR="003A7B1E" w:rsidRDefault="00000000">
      <w:pPr>
        <w:spacing w:after="120"/>
      </w:pPr>
      <w:r>
        <w:rPr>
          <w:i/>
          <w:iCs/>
          <w:color w:val="6B7280"/>
          <w:sz w:val="24"/>
          <w:szCs w:val="24"/>
        </w:rPr>
        <w:t>A detailed conversion strategy for Forge</w:t>
      </w:r>
      <w:r w:rsidR="007C621E">
        <w:rPr>
          <w:i/>
          <w:iCs/>
          <w:color w:val="6B7280"/>
          <w:sz w:val="24"/>
          <w:szCs w:val="24"/>
        </w:rPr>
        <w:t xml:space="preserve"> </w:t>
      </w:r>
      <w:r>
        <w:rPr>
          <w:i/>
          <w:iCs/>
          <w:color w:val="6B7280"/>
          <w:sz w:val="24"/>
          <w:szCs w:val="24"/>
        </w:rPr>
        <w:t>— written from the perspective of a senior brand strategist and website conversion professional.</w:t>
      </w:r>
    </w:p>
    <w:p w14:paraId="3778626A" w14:textId="77777777" w:rsidR="003A7B1E" w:rsidRDefault="003A7B1E">
      <w:pPr>
        <w:pBdr>
          <w:bottom w:val="single" w:sz="4" w:space="1" w:color="E5E7EB"/>
        </w:pBdr>
        <w:spacing w:before="240" w:after="240"/>
      </w:pPr>
    </w:p>
    <w:p w14:paraId="20644F02" w14:textId="77777777" w:rsidR="003A7B1E" w:rsidRDefault="00000000">
      <w:pPr>
        <w:spacing w:before="120" w:after="60"/>
      </w:pPr>
      <w:r>
        <w:rPr>
          <w:b/>
          <w:bCs/>
          <w:color w:val="374151"/>
        </w:rPr>
        <w:t>Prepared for</w:t>
      </w:r>
      <w:proofErr w:type="gramStart"/>
      <w:r>
        <w:rPr>
          <w:b/>
          <w:bCs/>
          <w:color w:val="374151"/>
        </w:rPr>
        <w:t xml:space="preserve">:  </w:t>
      </w:r>
      <w:r>
        <w:rPr>
          <w:color w:val="374151"/>
        </w:rPr>
        <w:t>Nsikakobong</w:t>
      </w:r>
      <w:proofErr w:type="gramEnd"/>
      <w:r>
        <w:rPr>
          <w:color w:val="374151"/>
        </w:rPr>
        <w:t xml:space="preserve"> Ubom</w:t>
      </w:r>
    </w:p>
    <w:p w14:paraId="4337B2AE" w14:textId="54F10C20" w:rsidR="003A7B1E" w:rsidRDefault="00000000">
      <w:pPr>
        <w:spacing w:after="60"/>
      </w:pPr>
      <w:r>
        <w:rPr>
          <w:b/>
          <w:bCs/>
          <w:color w:val="374151"/>
        </w:rPr>
        <w:t>Scope</w:t>
      </w:r>
      <w:proofErr w:type="gramStart"/>
      <w:r>
        <w:rPr>
          <w:b/>
          <w:bCs/>
          <w:color w:val="374151"/>
        </w:rPr>
        <w:t xml:space="preserve">:  </w:t>
      </w:r>
      <w:r>
        <w:rPr>
          <w:color w:val="374151"/>
        </w:rPr>
        <w:t>Forge</w:t>
      </w:r>
      <w:proofErr w:type="gramEnd"/>
    </w:p>
    <w:p w14:paraId="4ACE8478" w14:textId="77777777" w:rsidR="003A7B1E" w:rsidRDefault="00000000">
      <w:pPr>
        <w:spacing w:after="60"/>
      </w:pPr>
      <w:r>
        <w:rPr>
          <w:b/>
          <w:bCs/>
          <w:color w:val="374151"/>
        </w:rPr>
        <w:t>Objective</w:t>
      </w:r>
      <w:proofErr w:type="gramStart"/>
      <w:r>
        <w:rPr>
          <w:b/>
          <w:bCs/>
          <w:color w:val="374151"/>
        </w:rPr>
        <w:t xml:space="preserve">:  </w:t>
      </w:r>
      <w:r>
        <w:rPr>
          <w:color w:val="374151"/>
        </w:rPr>
        <w:t>Convert</w:t>
      </w:r>
      <w:proofErr w:type="gramEnd"/>
      <w:r>
        <w:rPr>
          <w:color w:val="374151"/>
        </w:rPr>
        <w:t xml:space="preserve"> visitors into paying clients and customers</w:t>
      </w:r>
    </w:p>
    <w:p w14:paraId="6FBCBF77" w14:textId="77777777" w:rsidR="003A7B1E" w:rsidRDefault="00000000">
      <w:pPr>
        <w:spacing w:after="60"/>
      </w:pPr>
      <w:r>
        <w:rPr>
          <w:b/>
          <w:bCs/>
          <w:color w:val="374151"/>
        </w:rPr>
        <w:t>Date</w:t>
      </w:r>
      <w:proofErr w:type="gramStart"/>
      <w:r>
        <w:rPr>
          <w:b/>
          <w:bCs/>
          <w:color w:val="374151"/>
        </w:rPr>
        <w:t xml:space="preserve">:  </w:t>
      </w:r>
      <w:r>
        <w:rPr>
          <w:color w:val="374151"/>
        </w:rPr>
        <w:t>June</w:t>
      </w:r>
      <w:proofErr w:type="gramEnd"/>
      <w:r>
        <w:rPr>
          <w:color w:val="374151"/>
        </w:rPr>
        <w:t xml:space="preserve"> 2026</w:t>
      </w:r>
    </w:p>
    <w:p w14:paraId="370A2A33" w14:textId="77777777" w:rsidR="003A7B1E" w:rsidRDefault="00000000">
      <w:r>
        <w:br/>
      </w:r>
    </w:p>
    <w:p w14:paraId="1C01A4A5" w14:textId="77777777" w:rsidR="003A7B1E" w:rsidRDefault="00000000">
      <w:pPr>
        <w:pStyle w:val="Heading1"/>
      </w:pPr>
      <w:r>
        <w:t>Strategic Overview</w:t>
      </w:r>
    </w:p>
    <w:p w14:paraId="061617AD" w14:textId="77777777" w:rsidR="003A7B1E" w:rsidRDefault="00000000">
      <w:pPr>
        <w:spacing w:before="80" w:after="120"/>
      </w:pPr>
      <w:r>
        <w:rPr>
          <w:color w:val="374151"/>
        </w:rPr>
        <w:t xml:space="preserve">This playbook addresses a single core problem across your entire digital presence: the work is </w:t>
      </w:r>
      <w:proofErr w:type="gramStart"/>
      <w:r>
        <w:rPr>
          <w:color w:val="374151"/>
        </w:rPr>
        <w:t>exceptional,</w:t>
      </w:r>
      <w:proofErr w:type="gramEnd"/>
      <w:r>
        <w:rPr>
          <w:color w:val="374151"/>
        </w:rPr>
        <w:t xml:space="preserve"> the communication is not yet </w:t>
      </w:r>
      <w:proofErr w:type="spellStart"/>
      <w:r>
        <w:rPr>
          <w:color w:val="374151"/>
        </w:rPr>
        <w:t>optimised</w:t>
      </w:r>
      <w:proofErr w:type="spellEnd"/>
      <w:r>
        <w:rPr>
          <w:color w:val="374151"/>
        </w:rPr>
        <w:t xml:space="preserve"> for buyers. Each product and your portfolio </w:t>
      </w:r>
      <w:proofErr w:type="gramStart"/>
      <w:r>
        <w:rPr>
          <w:color w:val="374151"/>
        </w:rPr>
        <w:t>speaks</w:t>
      </w:r>
      <w:proofErr w:type="gramEnd"/>
      <w:r>
        <w:rPr>
          <w:color w:val="374151"/>
        </w:rPr>
        <w:t xml:space="preserve"> fluently to engineers and technical evaluators — but falls short of converting the decision-makers and buyers who control the cheque.</w:t>
      </w:r>
    </w:p>
    <w:p w14:paraId="1896F123" w14:textId="77777777" w:rsidR="003A7B1E" w:rsidRDefault="00000000">
      <w:pPr>
        <w:spacing w:before="80" w:after="120"/>
      </w:pPr>
      <w:r>
        <w:rPr>
          <w:color w:val="374151"/>
        </w:rPr>
        <w:t xml:space="preserve">The goal of this document is to close that gap. For each product, you will find: a diagnosis of what is currently costing you conversions, specific copy rewrites and samples you can implement immediately, conversion architecture recommendations, and a </w:t>
      </w:r>
      <w:proofErr w:type="spellStart"/>
      <w:r>
        <w:rPr>
          <w:color w:val="374151"/>
        </w:rPr>
        <w:t>prioritised</w:t>
      </w:r>
      <w:proofErr w:type="spellEnd"/>
      <w:r>
        <w:rPr>
          <w:color w:val="374151"/>
        </w:rPr>
        <w:t xml:space="preserve"> action plan.</w:t>
      </w:r>
    </w:p>
    <w:p w14:paraId="71AD8269" w14:textId="77777777" w:rsidR="003A7B1E" w:rsidRDefault="003A7B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B1E" w14:paraId="492658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F"/>
            <w:tcMar>
              <w:top w:w="180" w:type="dxa"/>
              <w:left w:w="240" w:type="dxa"/>
              <w:bottom w:w="180" w:type="dxa"/>
              <w:right w:w="240" w:type="dxa"/>
            </w:tcMar>
          </w:tcPr>
          <w:p w14:paraId="2870E6EA" w14:textId="77777777" w:rsidR="003A7B1E" w:rsidRDefault="00000000">
            <w:pPr>
              <w:spacing w:after="60"/>
            </w:pPr>
            <w:r>
              <w:rPr>
                <w:b/>
                <w:bCs/>
                <w:caps/>
                <w:color w:val="2563EB"/>
                <w:sz w:val="20"/>
                <w:szCs w:val="20"/>
              </w:rPr>
              <w:t>The Core Principle</w:t>
            </w:r>
          </w:p>
          <w:p w14:paraId="0E5760B9" w14:textId="77777777" w:rsidR="003A7B1E" w:rsidRDefault="00000000">
            <w:r>
              <w:rPr>
                <w:color w:val="374151"/>
              </w:rPr>
              <w:t>Every word on a product page or portfolio is either pulling a visitor toward a decision or pushing them away. There is no neutral copy. This playbook rewrites for pull.</w:t>
            </w:r>
          </w:p>
        </w:tc>
      </w:tr>
    </w:tbl>
    <w:p w14:paraId="5F107375" w14:textId="77777777" w:rsidR="003A7B1E" w:rsidRDefault="003A7B1E">
      <w:pPr>
        <w:spacing w:before="120"/>
      </w:pPr>
    </w:p>
    <w:p w14:paraId="152A3E8D" w14:textId="77777777" w:rsidR="003A7B1E" w:rsidRDefault="00000000">
      <w:pPr>
        <w:pStyle w:val="Heading2"/>
      </w:pPr>
      <w:r>
        <w:t xml:space="preserve">The Conversion </w:t>
      </w:r>
      <w:proofErr w:type="gramStart"/>
      <w:r>
        <w:t>Gap —</w:t>
      </w:r>
      <w:proofErr w:type="gramEnd"/>
      <w:r>
        <w:t xml:space="preserve"> Where You Are vs. Where You Need to 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A7B1E" w14:paraId="093173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0AE620B" w14:textId="77777777" w:rsidR="003A7B1E" w:rsidRDefault="00000000">
            <w:r>
              <w:rPr>
                <w:b/>
                <w:bCs/>
                <w:color w:val="FFFFFF"/>
                <w:sz w:val="20"/>
                <w:szCs w:val="20"/>
              </w:rPr>
              <w:t>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CF40A07" w14:textId="77777777" w:rsidR="003A7B1E" w:rsidRDefault="00000000">
            <w:r>
              <w:rPr>
                <w:b/>
                <w:bCs/>
                <w:color w:val="FFFFFF"/>
                <w:sz w:val="20"/>
                <w:szCs w:val="20"/>
              </w:rPr>
              <w:t>Current State → Target State</w:t>
            </w:r>
          </w:p>
        </w:tc>
      </w:tr>
      <w:tr w:rsidR="003A7B1E" w14:paraId="2930FD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08CF8" w14:textId="77777777" w:rsidR="003A7B1E" w:rsidRDefault="00000000">
            <w:r>
              <w:rPr>
                <w:b/>
                <w:bCs/>
                <w:color w:val="1F2937"/>
                <w:sz w:val="20"/>
                <w:szCs w:val="20"/>
              </w:rPr>
              <w:t>Positioning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CD1FE" w14:textId="77777777" w:rsidR="003A7B1E" w:rsidRDefault="00000000">
            <w:r>
              <w:rPr>
                <w:color w:val="374151"/>
                <w:sz w:val="20"/>
                <w:szCs w:val="20"/>
              </w:rPr>
              <w:t>Builder-facing → Buyer-facing</w:t>
            </w:r>
          </w:p>
        </w:tc>
      </w:tr>
      <w:tr w:rsidR="003A7B1E" w14:paraId="1103CF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77BE2DD" w14:textId="77777777" w:rsidR="003A7B1E" w:rsidRDefault="00000000">
            <w:r>
              <w:rPr>
                <w:b/>
                <w:bCs/>
                <w:color w:val="1F2937"/>
                <w:sz w:val="20"/>
                <w:szCs w:val="20"/>
              </w:rPr>
              <w:lastRenderedPageBreak/>
              <w:t>Primary CTA</w:t>
            </w:r>
          </w:p>
        </w:tc>
        <w:tc>
          <w:tcPr>
            <w:tcW w:w="6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6BB0D8E" w14:textId="77777777" w:rsidR="003A7B1E" w:rsidRDefault="00000000">
            <w:r>
              <w:rPr>
                <w:color w:val="374151"/>
                <w:sz w:val="20"/>
                <w:szCs w:val="20"/>
              </w:rPr>
              <w:t>"Get in touch" (passive) → "Book a 20-min call" (specific)</w:t>
            </w:r>
          </w:p>
        </w:tc>
      </w:tr>
      <w:tr w:rsidR="003A7B1E" w14:paraId="6305A9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02CAB" w14:textId="77777777" w:rsidR="003A7B1E" w:rsidRDefault="00000000">
            <w:r>
              <w:rPr>
                <w:b/>
                <w:bCs/>
                <w:color w:val="1F2937"/>
                <w:sz w:val="20"/>
                <w:szCs w:val="20"/>
              </w:rPr>
              <w:t>Social proof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E79DC" w14:textId="77777777" w:rsidR="003A7B1E" w:rsidRDefault="00000000">
            <w:r>
              <w:rPr>
                <w:color w:val="374151"/>
                <w:sz w:val="20"/>
                <w:szCs w:val="20"/>
              </w:rPr>
              <w:t xml:space="preserve">Absent → Testimonial + results front and </w:t>
            </w:r>
            <w:proofErr w:type="spellStart"/>
            <w:r>
              <w:rPr>
                <w:color w:val="374151"/>
                <w:sz w:val="20"/>
                <w:szCs w:val="20"/>
              </w:rPr>
              <w:t>centre</w:t>
            </w:r>
            <w:proofErr w:type="spellEnd"/>
          </w:p>
        </w:tc>
      </w:tr>
      <w:tr w:rsidR="003A7B1E" w14:paraId="2F2455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B3D4B56" w14:textId="77777777" w:rsidR="003A7B1E" w:rsidRDefault="00000000">
            <w:r>
              <w:rPr>
                <w:b/>
                <w:bCs/>
                <w:color w:val="1F2937"/>
                <w:sz w:val="20"/>
                <w:szCs w:val="20"/>
              </w:rPr>
              <w:t>Pricing signals</w:t>
            </w:r>
          </w:p>
        </w:tc>
        <w:tc>
          <w:tcPr>
            <w:tcW w:w="6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98003F3" w14:textId="77777777" w:rsidR="003A7B1E" w:rsidRDefault="00000000">
            <w:r>
              <w:rPr>
                <w:color w:val="374151"/>
                <w:sz w:val="20"/>
                <w:szCs w:val="20"/>
              </w:rPr>
              <w:t>None → Anchored to premium market</w:t>
            </w:r>
          </w:p>
        </w:tc>
      </w:tr>
      <w:tr w:rsidR="003A7B1E" w14:paraId="3D55E4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968E2" w14:textId="77777777" w:rsidR="003A7B1E" w:rsidRDefault="00000000">
            <w:r>
              <w:rPr>
                <w:b/>
                <w:bCs/>
                <w:color w:val="1F2937"/>
                <w:sz w:val="20"/>
                <w:szCs w:val="20"/>
              </w:rPr>
              <w:t>Product pages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9754D" w14:textId="77777777" w:rsidR="003A7B1E" w:rsidRDefault="00000000">
            <w:r>
              <w:rPr>
                <w:color w:val="374151"/>
                <w:sz w:val="20"/>
                <w:szCs w:val="20"/>
              </w:rPr>
              <w:t>Technical showcases → Conversion machines</w:t>
            </w:r>
          </w:p>
        </w:tc>
      </w:tr>
      <w:tr w:rsidR="003A7B1E" w14:paraId="712843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32F31A0" w14:textId="77777777" w:rsidR="003A7B1E" w:rsidRDefault="00000000">
            <w:r>
              <w:rPr>
                <w:b/>
                <w:bCs/>
                <w:color w:val="1F2937"/>
                <w:sz w:val="20"/>
                <w:szCs w:val="20"/>
              </w:rPr>
              <w:t>Footer signal</w:t>
            </w:r>
          </w:p>
        </w:tc>
        <w:tc>
          <w:tcPr>
            <w:tcW w:w="6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48F8683" w14:textId="77777777" w:rsidR="003A7B1E" w:rsidRDefault="00000000">
            <w:r>
              <w:rPr>
                <w:color w:val="374151"/>
                <w:sz w:val="20"/>
                <w:szCs w:val="20"/>
              </w:rPr>
              <w:t>"Open to full-time" → "Available for select projects"</w:t>
            </w:r>
          </w:p>
        </w:tc>
      </w:tr>
    </w:tbl>
    <w:p w14:paraId="30A14668" w14:textId="77777777" w:rsidR="003A7B1E" w:rsidRDefault="00000000">
      <w:r>
        <w:br/>
      </w:r>
    </w:p>
    <w:p w14:paraId="28E2C3A3" w14:textId="77777777" w:rsidR="003A7B1E" w:rsidRDefault="00000000">
      <w:pPr>
        <w:pStyle w:val="Heading1"/>
      </w:pPr>
      <w:r>
        <w:t>Forge Business Plan Generator</w:t>
      </w:r>
    </w:p>
    <w:p w14:paraId="1E781357" w14:textId="77777777" w:rsidR="003A7B1E" w:rsidRDefault="00000000">
      <w:pPr>
        <w:spacing w:before="80" w:after="120"/>
      </w:pPr>
      <w:r>
        <w:rPr>
          <w:color w:val="374151"/>
        </w:rPr>
        <w:t xml:space="preserve">Forge has the strongest landing page of your three products. The insight — "blank-page anxiety, not writing </w:t>
      </w:r>
      <w:proofErr w:type="gramStart"/>
      <w:r>
        <w:rPr>
          <w:color w:val="374151"/>
        </w:rPr>
        <w:t>time" —</w:t>
      </w:r>
      <w:proofErr w:type="gramEnd"/>
      <w:r>
        <w:rPr>
          <w:color w:val="374151"/>
        </w:rPr>
        <w:t xml:space="preserve"> is sharp, buyer-facing, and true. You are 70% of the way there. The remaining 30% is about monetization architecture, audience clarity, and distribution hooks.</w:t>
      </w:r>
    </w:p>
    <w:p w14:paraId="7F8AC33F" w14:textId="77777777" w:rsidR="003A7B1E" w:rsidRDefault="003A7B1E">
      <w:pPr>
        <w:pBdr>
          <w:bottom w:val="single" w:sz="4" w:space="1" w:color="E5E7EB"/>
        </w:pBdr>
        <w:spacing w:before="240" w:after="240"/>
      </w:pPr>
    </w:p>
    <w:p w14:paraId="09715581" w14:textId="77777777" w:rsidR="003A7B1E" w:rsidRDefault="00000000">
      <w:pPr>
        <w:pStyle w:val="Heading2"/>
      </w:pPr>
      <w:proofErr w:type="gramStart"/>
      <w:r>
        <w:t>2.1  Audience</w:t>
      </w:r>
      <w:proofErr w:type="gramEnd"/>
      <w:r>
        <w:t xml:space="preserve"> — Name Your User Explicitly</w:t>
      </w:r>
    </w:p>
    <w:p w14:paraId="5BE9F507" w14:textId="77777777" w:rsidR="003A7B1E" w:rsidRDefault="00000000">
      <w:pPr>
        <w:spacing w:before="80" w:after="120"/>
      </w:pPr>
      <w:r>
        <w:rPr>
          <w:color w:val="374151"/>
        </w:rPr>
        <w:t>"Founders" appears once, loosely, in the current copy. Your visitor should feel within two seconds that this product was built for someone exactly like them. Right now, the product could be for a founder, a student, a consultant, or a business coach. That ambiguity costs conversions.</w:t>
      </w:r>
    </w:p>
    <w:p w14:paraId="3969EC1A" w14:textId="77777777" w:rsidR="003A7B1E" w:rsidRDefault="00000000">
      <w:pPr>
        <w:pStyle w:val="Heading3"/>
      </w:pPr>
      <w:r>
        <w:t>Recommended Audience Statement (Add Below Hero)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B1E" w14:paraId="4F910D4A" w14:textId="77777777">
        <w:tblPrEx>
          <w:tblCellMar>
            <w:top w:w="0" w:type="dxa"/>
            <w:bottom w:w="0" w:type="dxa"/>
          </w:tblCellMar>
        </w:tblPrEx>
        <w:tc>
          <w:tcPr>
            <w:tcW w:w="9360" w:type="dxa"/>
            <w:tcBorders>
              <w:top w:val="single" w:sz="4" w:space="0" w:color="2563EB"/>
              <w:left w:val="single" w:sz="1" w:space="0" w:color="CCCCCC"/>
              <w:bottom w:val="single" w:sz="1" w:space="0" w:color="CCCCCC"/>
              <w:right w:val="single" w:sz="1" w:space="0" w:color="CCCCCC"/>
            </w:tcBorders>
            <w:shd w:val="clear" w:color="auto" w:fill="F8FAFF"/>
            <w:tcMar>
              <w:top w:w="160" w:type="dxa"/>
              <w:left w:w="220" w:type="dxa"/>
              <w:bottom w:w="160" w:type="dxa"/>
              <w:right w:w="220" w:type="dxa"/>
            </w:tcMar>
          </w:tcPr>
          <w:p w14:paraId="2F938421" w14:textId="77777777" w:rsidR="003A7B1E" w:rsidRDefault="00000000">
            <w:pPr>
              <w:spacing w:after="60"/>
            </w:pPr>
            <w:proofErr w:type="gramStart"/>
            <w:r>
              <w:rPr>
                <w:b/>
                <w:bCs/>
                <w:caps/>
                <w:color w:val="2563EB"/>
                <w:sz w:val="18"/>
                <w:szCs w:val="18"/>
              </w:rPr>
              <w:t>✎  Audience</w:t>
            </w:r>
            <w:proofErr w:type="gramEnd"/>
            <w:r>
              <w:rPr>
                <w:b/>
                <w:bCs/>
                <w:caps/>
                <w:color w:val="2563EB"/>
                <w:sz w:val="18"/>
                <w:szCs w:val="18"/>
              </w:rPr>
              <w:t xml:space="preserve"> Positioning Line</w:t>
            </w:r>
          </w:p>
          <w:p w14:paraId="4940A1EE" w14:textId="77777777" w:rsidR="003A7B1E" w:rsidRDefault="00000000">
            <w:r>
              <w:rPr>
                <w:i/>
                <w:iCs/>
                <w:color w:val="1F2937"/>
              </w:rPr>
              <w:t>Built for early-stage founders who need a credible first draft — not a generic template, and not a $3,000 consultant.</w:t>
            </w:r>
          </w:p>
        </w:tc>
      </w:tr>
    </w:tbl>
    <w:p w14:paraId="0AB7A3F5" w14:textId="77777777" w:rsidR="003A7B1E" w:rsidRDefault="003A7B1E">
      <w:pPr>
        <w:spacing w:before="120"/>
      </w:pPr>
    </w:p>
    <w:p w14:paraId="421999D6" w14:textId="77777777" w:rsidR="003A7B1E" w:rsidRDefault="00000000">
      <w:pPr>
        <w:spacing w:before="80" w:after="120"/>
      </w:pPr>
      <w:r>
        <w:rPr>
          <w:color w:val="374151"/>
        </w:rPr>
        <w:t>This line does three things simultaneously: it names the user (early-stage founders), it positions against the free alternative (generic templates), and it positions against the expensive alternative ($3,000 consultant). That triangle is your entire competitive moat, stated in one sentence.</w:t>
      </w:r>
    </w:p>
    <w:p w14:paraId="6B2F8A8B" w14:textId="77777777" w:rsidR="003A7B1E" w:rsidRDefault="003A7B1E">
      <w:pPr>
        <w:spacing w:before="120"/>
      </w:pPr>
    </w:p>
    <w:p w14:paraId="19E2F49A" w14:textId="77777777" w:rsidR="003A7B1E" w:rsidRDefault="00000000">
      <w:pPr>
        <w:pStyle w:val="Heading2"/>
      </w:pPr>
      <w:proofErr w:type="gramStart"/>
      <w:r>
        <w:t>2.2  Monetization</w:t>
      </w:r>
      <w:proofErr w:type="gramEnd"/>
      <w:r>
        <w:t xml:space="preserve"> — Introduce Friction Before You Lose the Moment</w:t>
      </w:r>
    </w:p>
    <w:p w14:paraId="32CE8665" w14:textId="77777777" w:rsidR="003A7B1E" w:rsidRDefault="00000000">
      <w:pPr>
        <w:spacing w:before="80" w:after="120"/>
      </w:pPr>
      <w:r>
        <w:rPr>
          <w:color w:val="374151"/>
        </w:rPr>
        <w:t xml:space="preserve">Currently, Forge is completely free with no account, no gate, and no conversion path. Every user who generates a plan and closes the tab is gone forever. You have no way to reach them, </w:t>
      </w:r>
      <w:proofErr w:type="gramStart"/>
      <w:r>
        <w:rPr>
          <w:color w:val="374151"/>
        </w:rPr>
        <w:t>follow</w:t>
      </w:r>
      <w:proofErr w:type="gramEnd"/>
      <w:r>
        <w:rPr>
          <w:color w:val="374151"/>
        </w:rPr>
        <w:t xml:space="preserve"> up, or convert them to a paying customer.</w:t>
      </w:r>
    </w:p>
    <w:p w14:paraId="3806B15A" w14:textId="77777777" w:rsidR="003A7B1E" w:rsidRDefault="00000000">
      <w:pPr>
        <w:spacing w:before="80" w:after="120"/>
      </w:pPr>
      <w:r>
        <w:rPr>
          <w:color w:val="374151"/>
        </w:rPr>
        <w:lastRenderedPageBreak/>
        <w:t>You do not need to charge immediately — but you need to capture the moment of value. The moment of value in Forge is when the plan finishes generating and the user thinks: "This is actually good."</w:t>
      </w:r>
    </w:p>
    <w:p w14:paraId="73CE894E" w14:textId="77777777" w:rsidR="003A7B1E" w:rsidRDefault="00000000">
      <w:pPr>
        <w:pStyle w:val="Heading3"/>
      </w:pPr>
      <w:r>
        <w:t>Recommended Monetization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3A7B1E" w14:paraId="4D8D7D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5767DB4" w14:textId="77777777" w:rsidR="003A7B1E" w:rsidRDefault="00000000">
            <w:r>
              <w:rPr>
                <w:b/>
                <w:bCs/>
                <w:color w:val="FFFFFF"/>
                <w:sz w:val="20"/>
                <w:szCs w:val="20"/>
              </w:rPr>
              <w:t>Gate</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DC152B5" w14:textId="77777777" w:rsidR="003A7B1E" w:rsidRDefault="00000000">
            <w:r>
              <w:rPr>
                <w:b/>
                <w:bCs/>
                <w:color w:val="FFFFFF"/>
                <w:sz w:val="20"/>
                <w:szCs w:val="20"/>
              </w:rPr>
              <w:t>Trigger</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C8ECE4F" w14:textId="77777777" w:rsidR="003A7B1E" w:rsidRDefault="00000000">
            <w:r>
              <w:rPr>
                <w:b/>
                <w:bCs/>
                <w:color w:val="FFFFFF"/>
                <w:sz w:val="20"/>
                <w:szCs w:val="20"/>
              </w:rPr>
              <w:t>What It Unlocks</w:t>
            </w:r>
          </w:p>
        </w:tc>
      </w:tr>
      <w:tr w:rsidR="003A7B1E" w14:paraId="3F9A0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07D95" w14:textId="77777777" w:rsidR="003A7B1E" w:rsidRDefault="00000000">
            <w:r>
              <w:rPr>
                <w:b/>
                <w:bCs/>
                <w:color w:val="1F2937"/>
                <w:sz w:val="20"/>
                <w:szCs w:val="20"/>
              </w:rPr>
              <w:t>Email capture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E9A91" w14:textId="77777777" w:rsidR="003A7B1E" w:rsidRDefault="00000000">
            <w:r>
              <w:rPr>
                <w:color w:val="374151"/>
                <w:sz w:val="20"/>
                <w:szCs w:val="20"/>
              </w:rPr>
              <w:t>After plan generates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C738F" w14:textId="77777777" w:rsidR="003A7B1E" w:rsidRDefault="00000000">
            <w:r>
              <w:rPr>
                <w:color w:val="374151"/>
                <w:sz w:val="20"/>
                <w:szCs w:val="20"/>
              </w:rPr>
              <w:t>Download (Word/PDF export)</w:t>
            </w:r>
          </w:p>
        </w:tc>
      </w:tr>
      <w:tr w:rsidR="003A7B1E" w14:paraId="7D454E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33EF82E" w14:textId="77777777" w:rsidR="003A7B1E" w:rsidRDefault="00000000">
            <w:r>
              <w:rPr>
                <w:b/>
                <w:bCs/>
                <w:color w:val="1F2937"/>
                <w:sz w:val="20"/>
                <w:szCs w:val="20"/>
              </w:rPr>
              <w:t>Free account</w:t>
            </w:r>
          </w:p>
        </w:tc>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1C3B8E0" w14:textId="77777777" w:rsidR="003A7B1E" w:rsidRDefault="00000000">
            <w:r>
              <w:rPr>
                <w:color w:val="374151"/>
                <w:sz w:val="20"/>
                <w:szCs w:val="20"/>
              </w:rPr>
              <w:t>After 1 plan</w:t>
            </w:r>
          </w:p>
        </w:tc>
        <w:tc>
          <w:tcPr>
            <w:tcW w:w="4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C98641B" w14:textId="77777777" w:rsidR="003A7B1E" w:rsidRDefault="00000000">
            <w:r>
              <w:rPr>
                <w:color w:val="374151"/>
                <w:sz w:val="20"/>
                <w:szCs w:val="20"/>
              </w:rPr>
              <w:t>Save plans, return to edit</w:t>
            </w:r>
          </w:p>
        </w:tc>
      </w:tr>
      <w:tr w:rsidR="003A7B1E" w14:paraId="5441B7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F43DF" w14:textId="77777777" w:rsidR="003A7B1E" w:rsidRDefault="00000000">
            <w:r>
              <w:rPr>
                <w:b/>
                <w:bCs/>
                <w:color w:val="1F2937"/>
                <w:sz w:val="20"/>
                <w:szCs w:val="20"/>
              </w:rPr>
              <w:t>Paid tier ($19/</w:t>
            </w:r>
            <w:proofErr w:type="spellStart"/>
            <w:r>
              <w:rPr>
                <w:b/>
                <w:bCs/>
                <w:color w:val="1F2937"/>
                <w:sz w:val="20"/>
                <w:szCs w:val="20"/>
              </w:rPr>
              <w:t>mo</w:t>
            </w:r>
            <w:proofErr w:type="spellEnd"/>
            <w:r>
              <w:rPr>
                <w:b/>
                <w:bCs/>
                <w:color w:val="1F2937"/>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BC06B" w14:textId="77777777" w:rsidR="003A7B1E" w:rsidRDefault="00000000">
            <w:r>
              <w:rPr>
                <w:color w:val="374151"/>
                <w:sz w:val="20"/>
                <w:szCs w:val="20"/>
              </w:rPr>
              <w:t>After 3 plans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18CC2" w14:textId="77777777" w:rsidR="003A7B1E" w:rsidRDefault="00000000">
            <w:r>
              <w:rPr>
                <w:color w:val="374151"/>
                <w:sz w:val="20"/>
                <w:szCs w:val="20"/>
              </w:rPr>
              <w:t>Unlimited plans, priority generation, remove watermark</w:t>
            </w:r>
          </w:p>
        </w:tc>
      </w:tr>
      <w:tr w:rsidR="003A7B1E" w14:paraId="6CC98B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83079CE" w14:textId="77777777" w:rsidR="003A7B1E" w:rsidRDefault="00000000">
            <w:r>
              <w:rPr>
                <w:b/>
                <w:bCs/>
                <w:color w:val="1F2937"/>
                <w:sz w:val="20"/>
                <w:szCs w:val="20"/>
              </w:rPr>
              <w:t>Team tier ($49/</w:t>
            </w:r>
            <w:proofErr w:type="spellStart"/>
            <w:r>
              <w:rPr>
                <w:b/>
                <w:bCs/>
                <w:color w:val="1F2937"/>
                <w:sz w:val="20"/>
                <w:szCs w:val="20"/>
              </w:rPr>
              <w:t>mo</w:t>
            </w:r>
            <w:proofErr w:type="spellEnd"/>
            <w:r>
              <w:rPr>
                <w:b/>
                <w:bCs/>
                <w:color w:val="1F2937"/>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6BDCDBE" w14:textId="77777777" w:rsidR="003A7B1E" w:rsidRDefault="00000000">
            <w:r>
              <w:rPr>
                <w:color w:val="374151"/>
                <w:sz w:val="20"/>
                <w:szCs w:val="20"/>
              </w:rPr>
              <w:t>Cohort/agency use</w:t>
            </w:r>
          </w:p>
        </w:tc>
        <w:tc>
          <w:tcPr>
            <w:tcW w:w="4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A8AE03E" w14:textId="77777777" w:rsidR="003A7B1E" w:rsidRDefault="00000000">
            <w:r>
              <w:rPr>
                <w:color w:val="374151"/>
                <w:sz w:val="20"/>
                <w:szCs w:val="20"/>
              </w:rPr>
              <w:t>Multi-seat, white-label export, batch generation</w:t>
            </w:r>
          </w:p>
        </w:tc>
      </w:tr>
    </w:tbl>
    <w:p w14:paraId="0B072887" w14:textId="77777777" w:rsidR="003A7B1E" w:rsidRDefault="003A7B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B1E" w14:paraId="6A9BBE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180" w:type="dxa"/>
              <w:left w:w="240" w:type="dxa"/>
              <w:bottom w:w="180" w:type="dxa"/>
              <w:right w:w="240" w:type="dxa"/>
            </w:tcMar>
          </w:tcPr>
          <w:p w14:paraId="2CAA801C" w14:textId="77777777" w:rsidR="003A7B1E" w:rsidRDefault="00000000">
            <w:pPr>
              <w:spacing w:after="60"/>
            </w:pPr>
            <w:r>
              <w:rPr>
                <w:b/>
                <w:bCs/>
                <w:caps/>
                <w:color w:val="92400E"/>
                <w:sz w:val="20"/>
                <w:szCs w:val="20"/>
              </w:rPr>
              <w:t>Why Email Before Download?</w:t>
            </w:r>
          </w:p>
          <w:p w14:paraId="24018D70" w14:textId="77777777" w:rsidR="003A7B1E" w:rsidRDefault="00000000">
            <w:r>
              <w:rPr>
                <w:color w:val="374151"/>
              </w:rPr>
              <w:t>The plan is the product's best marketing material. When someone downloads a Forge-generated plan, that document travels — to investors, advisors, accelerator reviewers. If it carries a subtle "Generated with Forge" watermark and a URL, every reader is a potential new user. Email capture ensures you can reach the person who generated it.</w:t>
            </w:r>
          </w:p>
        </w:tc>
      </w:tr>
    </w:tbl>
    <w:p w14:paraId="73E08E26" w14:textId="77777777" w:rsidR="003A7B1E" w:rsidRDefault="003A7B1E">
      <w:pPr>
        <w:spacing w:before="120"/>
      </w:pPr>
    </w:p>
    <w:p w14:paraId="08BA4384" w14:textId="77777777" w:rsidR="003A7B1E" w:rsidRDefault="00000000">
      <w:pPr>
        <w:pStyle w:val="Heading2"/>
      </w:pPr>
      <w:proofErr w:type="gramStart"/>
      <w:r>
        <w:t>2.3  Distribution</w:t>
      </w:r>
      <w:proofErr w:type="gramEnd"/>
      <w:r>
        <w:t xml:space="preserve"> Hooks — Add Commercial Invitations</w:t>
      </w:r>
    </w:p>
    <w:p w14:paraId="6CBCCE3B" w14:textId="77777777" w:rsidR="003A7B1E" w:rsidRDefault="00000000">
      <w:pPr>
        <w:spacing w:before="80" w:after="120"/>
      </w:pPr>
      <w:r>
        <w:rPr>
          <w:color w:val="374151"/>
        </w:rPr>
        <w:t xml:space="preserve">The current Forge landing page has no commercial hooks for </w:t>
      </w:r>
      <w:proofErr w:type="spellStart"/>
      <w:r>
        <w:rPr>
          <w:color w:val="374151"/>
        </w:rPr>
        <w:t>organisations</w:t>
      </w:r>
      <w:proofErr w:type="spellEnd"/>
      <w:r>
        <w:rPr>
          <w:color w:val="374151"/>
        </w:rPr>
        <w:t xml:space="preserve">. Individual founders are your users — but </w:t>
      </w:r>
      <w:proofErr w:type="spellStart"/>
      <w:r>
        <w:rPr>
          <w:color w:val="374151"/>
        </w:rPr>
        <w:t>organisations</w:t>
      </w:r>
      <w:proofErr w:type="spellEnd"/>
      <w:r>
        <w:rPr>
          <w:color w:val="374151"/>
        </w:rPr>
        <w:t xml:space="preserve"> are your buyers. An accelerator with 30 founders in a cohort is worth more than 30 individual signups.</w:t>
      </w:r>
    </w:p>
    <w:p w14:paraId="22409EE1" w14:textId="77777777" w:rsidR="003A7B1E" w:rsidRDefault="003A7B1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B1E" w14:paraId="1D44139F" w14:textId="77777777">
        <w:tblPrEx>
          <w:tblCellMar>
            <w:top w:w="0" w:type="dxa"/>
            <w:bottom w:w="0" w:type="dxa"/>
          </w:tblCellMar>
        </w:tblPrEx>
        <w:tc>
          <w:tcPr>
            <w:tcW w:w="9360" w:type="dxa"/>
            <w:tcBorders>
              <w:top w:val="single" w:sz="4" w:space="0" w:color="2563EB"/>
              <w:left w:val="single" w:sz="1" w:space="0" w:color="CCCCCC"/>
              <w:bottom w:val="single" w:sz="1" w:space="0" w:color="CCCCCC"/>
              <w:right w:val="single" w:sz="1" w:space="0" w:color="CCCCCC"/>
            </w:tcBorders>
            <w:shd w:val="clear" w:color="auto" w:fill="F8FAFF"/>
            <w:tcMar>
              <w:top w:w="160" w:type="dxa"/>
              <w:left w:w="220" w:type="dxa"/>
              <w:bottom w:w="160" w:type="dxa"/>
              <w:right w:w="220" w:type="dxa"/>
            </w:tcMar>
          </w:tcPr>
          <w:p w14:paraId="241BD184" w14:textId="77777777" w:rsidR="003A7B1E" w:rsidRDefault="00000000">
            <w:pPr>
              <w:spacing w:after="60"/>
            </w:pPr>
            <w:proofErr w:type="gramStart"/>
            <w:r>
              <w:rPr>
                <w:b/>
                <w:bCs/>
                <w:caps/>
                <w:color w:val="2563EB"/>
                <w:sz w:val="18"/>
                <w:szCs w:val="18"/>
              </w:rPr>
              <w:t>✎  Cohort</w:t>
            </w:r>
            <w:proofErr w:type="gramEnd"/>
            <w:r>
              <w:rPr>
                <w:b/>
                <w:bCs/>
                <w:caps/>
                <w:color w:val="2563EB"/>
                <w:sz w:val="18"/>
                <w:szCs w:val="18"/>
              </w:rPr>
              <w:t xml:space="preserve"> Licensing Hook (Add to Page Footer)</w:t>
            </w:r>
          </w:p>
          <w:p w14:paraId="5A417C22" w14:textId="77777777" w:rsidR="003A7B1E" w:rsidRDefault="00000000">
            <w:r>
              <w:rPr>
                <w:i/>
                <w:iCs/>
                <w:color w:val="1F2937"/>
              </w:rPr>
              <w:t xml:space="preserve">Running an accelerator, incubator, or entrepreneurship </w:t>
            </w:r>
            <w:proofErr w:type="spellStart"/>
            <w:r>
              <w:rPr>
                <w:i/>
                <w:iCs/>
                <w:color w:val="1F2937"/>
              </w:rPr>
              <w:t>programme</w:t>
            </w:r>
            <w:proofErr w:type="spellEnd"/>
            <w:r>
              <w:rPr>
                <w:i/>
                <w:iCs/>
                <w:color w:val="1F2937"/>
              </w:rPr>
              <w:t xml:space="preserve">? Forge offers cohort licensing — unlimited plans for your cohort members, branded export, and a facilitator dashboard. Reach out at </w:t>
            </w:r>
            <w:proofErr w:type="spellStart"/>
            <w:r>
              <w:rPr>
                <w:i/>
                <w:iCs/>
                <w:color w:val="1F2937"/>
              </w:rPr>
              <w:t>hello@nsikak.dev</w:t>
            </w:r>
            <w:proofErr w:type="spellEnd"/>
            <w:r>
              <w:rPr>
                <w:i/>
                <w:iCs/>
                <w:color w:val="1F2937"/>
              </w:rPr>
              <w:t>.</w:t>
            </w:r>
          </w:p>
        </w:tc>
      </w:tr>
    </w:tbl>
    <w:p w14:paraId="57B18A7C" w14:textId="77777777" w:rsidR="003A7B1E" w:rsidRDefault="003A7B1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B1E" w14:paraId="3E6D273C" w14:textId="77777777">
        <w:tblPrEx>
          <w:tblCellMar>
            <w:top w:w="0" w:type="dxa"/>
            <w:bottom w:w="0" w:type="dxa"/>
          </w:tblCellMar>
        </w:tblPrEx>
        <w:tc>
          <w:tcPr>
            <w:tcW w:w="9360" w:type="dxa"/>
            <w:tcBorders>
              <w:top w:val="single" w:sz="4" w:space="0" w:color="2563EB"/>
              <w:left w:val="single" w:sz="1" w:space="0" w:color="CCCCCC"/>
              <w:bottom w:val="single" w:sz="1" w:space="0" w:color="CCCCCC"/>
              <w:right w:val="single" w:sz="1" w:space="0" w:color="CCCCCC"/>
            </w:tcBorders>
            <w:shd w:val="clear" w:color="auto" w:fill="F8FAFF"/>
            <w:tcMar>
              <w:top w:w="160" w:type="dxa"/>
              <w:left w:w="220" w:type="dxa"/>
              <w:bottom w:w="160" w:type="dxa"/>
              <w:right w:w="220" w:type="dxa"/>
            </w:tcMar>
          </w:tcPr>
          <w:p w14:paraId="511A9B13" w14:textId="77777777" w:rsidR="003A7B1E" w:rsidRDefault="00000000">
            <w:pPr>
              <w:spacing w:after="60"/>
            </w:pPr>
            <w:proofErr w:type="gramStart"/>
            <w:r>
              <w:rPr>
                <w:b/>
                <w:bCs/>
                <w:caps/>
                <w:color w:val="2563EB"/>
                <w:sz w:val="18"/>
                <w:szCs w:val="18"/>
              </w:rPr>
              <w:t>✎  Business</w:t>
            </w:r>
            <w:proofErr w:type="gramEnd"/>
            <w:r>
              <w:rPr>
                <w:b/>
                <w:bCs/>
                <w:caps/>
                <w:color w:val="2563EB"/>
                <w:sz w:val="18"/>
                <w:szCs w:val="18"/>
              </w:rPr>
              <w:t xml:space="preserve"> Coach Hook (Add as a Separate Section)</w:t>
            </w:r>
          </w:p>
          <w:p w14:paraId="04BC148D" w14:textId="77777777" w:rsidR="003A7B1E" w:rsidRDefault="00000000">
            <w:r>
              <w:rPr>
                <w:i/>
                <w:iCs/>
                <w:color w:val="1F2937"/>
              </w:rPr>
              <w:t xml:space="preserve">If you work with early-stage founders, Forge can be part of your client onboarding. White-label plans, </w:t>
            </w:r>
            <w:proofErr w:type="gramStart"/>
            <w:r>
              <w:rPr>
                <w:i/>
                <w:iCs/>
                <w:color w:val="1F2937"/>
              </w:rPr>
              <w:t>your</w:t>
            </w:r>
            <w:proofErr w:type="gramEnd"/>
            <w:r>
              <w:rPr>
                <w:i/>
                <w:iCs/>
                <w:color w:val="1F2937"/>
              </w:rPr>
              <w:t xml:space="preserve"> branding on exports, and a referral arrangement if your clients convert to paid. Let's talk.</w:t>
            </w:r>
          </w:p>
        </w:tc>
      </w:tr>
    </w:tbl>
    <w:p w14:paraId="7C87039B" w14:textId="77777777" w:rsidR="003A7B1E" w:rsidRDefault="003A7B1E">
      <w:pPr>
        <w:spacing w:before="120"/>
      </w:pPr>
    </w:p>
    <w:p w14:paraId="62A25734" w14:textId="77777777" w:rsidR="003A7B1E" w:rsidRDefault="00000000">
      <w:pPr>
        <w:pStyle w:val="Heading2"/>
      </w:pPr>
      <w:proofErr w:type="gramStart"/>
      <w:r>
        <w:t>2.4  The</w:t>
      </w:r>
      <w:proofErr w:type="gramEnd"/>
      <w:r>
        <w:t xml:space="preserve"> Demo — Make It Work Harder</w:t>
      </w:r>
    </w:p>
    <w:p w14:paraId="08F85683" w14:textId="77777777" w:rsidR="003A7B1E" w:rsidRDefault="00000000">
      <w:pPr>
        <w:spacing w:before="80" w:after="120"/>
      </w:pPr>
      <w:r>
        <w:rPr>
          <w:color w:val="374151"/>
        </w:rPr>
        <w:t xml:space="preserve">The demo link exists, which is good. But the demo needs to be structured to create a specific emotional response: "I need this." The current demo shows a childcare swap business — </w:t>
      </w:r>
      <w:r>
        <w:rPr>
          <w:color w:val="374151"/>
        </w:rPr>
        <w:lastRenderedPageBreak/>
        <w:t>functional, but neutral. Consider seeding the demo with a business idea in a category your target users care about deeply.</w:t>
      </w:r>
    </w:p>
    <w:p w14:paraId="3A1B934B" w14:textId="77777777" w:rsidR="003A7B1E" w:rsidRDefault="00000000">
      <w:pPr>
        <w:pStyle w:val="Heading3"/>
      </w:pPr>
      <w:r>
        <w:t>High-Converting Demo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A7B1E" w14:paraId="1084538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EEE6476" w14:textId="77777777" w:rsidR="003A7B1E" w:rsidRDefault="00000000">
            <w:r>
              <w:rPr>
                <w:b/>
                <w:bCs/>
                <w:color w:val="FFFFFF"/>
                <w:sz w:val="20"/>
                <w:szCs w:val="20"/>
              </w:rPr>
              <w:t>Business Idea Used in Demo</w:t>
            </w:r>
          </w:p>
        </w:tc>
        <w:tc>
          <w:tcPr>
            <w:tcW w:w="5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A90CFE5" w14:textId="77777777" w:rsidR="003A7B1E" w:rsidRDefault="00000000">
            <w:r>
              <w:rPr>
                <w:b/>
                <w:bCs/>
                <w:color w:val="FFFFFF"/>
                <w:sz w:val="20"/>
                <w:szCs w:val="20"/>
              </w:rPr>
              <w:t>Why It Works</w:t>
            </w:r>
          </w:p>
        </w:tc>
      </w:tr>
      <w:tr w:rsidR="003A7B1E" w14:paraId="2515755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5BCAF" w14:textId="77777777" w:rsidR="003A7B1E" w:rsidRDefault="00000000">
            <w:r>
              <w:rPr>
                <w:b/>
                <w:bCs/>
                <w:color w:val="1F2937"/>
                <w:sz w:val="20"/>
                <w:szCs w:val="20"/>
              </w:rPr>
              <w:t>A micro-SaaS tool for freelance designers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46077" w14:textId="77777777" w:rsidR="003A7B1E" w:rsidRDefault="00000000">
            <w:r>
              <w:rPr>
                <w:color w:val="374151"/>
                <w:sz w:val="20"/>
                <w:szCs w:val="20"/>
              </w:rPr>
              <w:t>Speaks directly to a solo founder archetype</w:t>
            </w:r>
          </w:p>
        </w:tc>
      </w:tr>
      <w:tr w:rsidR="003A7B1E" w14:paraId="3FF5A16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3448392" w14:textId="77777777" w:rsidR="003A7B1E" w:rsidRDefault="00000000">
            <w:r>
              <w:rPr>
                <w:b/>
                <w:bCs/>
                <w:color w:val="1F2937"/>
                <w:sz w:val="20"/>
                <w:szCs w:val="20"/>
              </w:rPr>
              <w:t>A local food delivery service in Lagos</w:t>
            </w:r>
          </w:p>
        </w:tc>
        <w:tc>
          <w:tcPr>
            <w:tcW w:w="57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6784B83" w14:textId="77777777" w:rsidR="003A7B1E" w:rsidRDefault="00000000">
            <w:r>
              <w:rPr>
                <w:color w:val="374151"/>
                <w:sz w:val="20"/>
                <w:szCs w:val="20"/>
              </w:rPr>
              <w:t>Specific, relatable, shows local market understanding</w:t>
            </w:r>
          </w:p>
        </w:tc>
      </w:tr>
      <w:tr w:rsidR="003A7B1E" w14:paraId="12B92C0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DCAD4" w14:textId="77777777" w:rsidR="003A7B1E" w:rsidRDefault="00000000">
            <w:r>
              <w:rPr>
                <w:b/>
                <w:bCs/>
                <w:color w:val="1F2937"/>
                <w:sz w:val="20"/>
                <w:szCs w:val="20"/>
              </w:rPr>
              <w:t>An online education platform for professional upskilling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AFBC2" w14:textId="77777777" w:rsidR="003A7B1E" w:rsidRDefault="00000000">
            <w:r>
              <w:rPr>
                <w:color w:val="374151"/>
                <w:sz w:val="20"/>
                <w:szCs w:val="20"/>
              </w:rPr>
              <w:t>Universal pain point, aspirational category</w:t>
            </w:r>
          </w:p>
        </w:tc>
      </w:tr>
    </w:tbl>
    <w:p w14:paraId="64DAC742" w14:textId="77777777" w:rsidR="003A7B1E" w:rsidRDefault="003A7B1E">
      <w:pPr>
        <w:spacing w:before="120"/>
      </w:pPr>
    </w:p>
    <w:p w14:paraId="381B0A17" w14:textId="77777777" w:rsidR="003A7B1E" w:rsidRDefault="00000000">
      <w:pPr>
        <w:pStyle w:val="Heading2"/>
      </w:pPr>
      <w:proofErr w:type="gramStart"/>
      <w:r>
        <w:t>2.5  Full</w:t>
      </w:r>
      <w:proofErr w:type="gramEnd"/>
      <w:r>
        <w:t xml:space="preserve"> Hero Rewrite for Forge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B1E" w14:paraId="55EC0321" w14:textId="77777777">
        <w:tblPrEx>
          <w:tblCellMar>
            <w:top w:w="0" w:type="dxa"/>
            <w:bottom w:w="0" w:type="dxa"/>
          </w:tblCellMar>
        </w:tblPrEx>
        <w:tc>
          <w:tcPr>
            <w:tcW w:w="9360" w:type="dxa"/>
            <w:tcBorders>
              <w:top w:val="single" w:sz="4" w:space="0" w:color="2563EB"/>
              <w:left w:val="single" w:sz="1" w:space="0" w:color="CCCCCC"/>
              <w:bottom w:val="single" w:sz="1" w:space="0" w:color="CCCCCC"/>
              <w:right w:val="single" w:sz="1" w:space="0" w:color="CCCCCC"/>
            </w:tcBorders>
            <w:shd w:val="clear" w:color="auto" w:fill="F8FAFF"/>
            <w:tcMar>
              <w:top w:w="160" w:type="dxa"/>
              <w:left w:w="220" w:type="dxa"/>
              <w:bottom w:w="160" w:type="dxa"/>
              <w:right w:w="220" w:type="dxa"/>
            </w:tcMar>
          </w:tcPr>
          <w:p w14:paraId="005EE967" w14:textId="77777777" w:rsidR="003A7B1E" w:rsidRDefault="00000000">
            <w:pPr>
              <w:spacing w:after="60"/>
            </w:pPr>
            <w:proofErr w:type="gramStart"/>
            <w:r>
              <w:rPr>
                <w:b/>
                <w:bCs/>
                <w:caps/>
                <w:color w:val="2563EB"/>
                <w:sz w:val="18"/>
                <w:szCs w:val="18"/>
              </w:rPr>
              <w:t>✎  Recommended</w:t>
            </w:r>
            <w:proofErr w:type="gramEnd"/>
            <w:r>
              <w:rPr>
                <w:b/>
                <w:bCs/>
                <w:caps/>
                <w:color w:val="2563EB"/>
                <w:sz w:val="18"/>
                <w:szCs w:val="18"/>
              </w:rPr>
              <w:t xml:space="preserve"> New Hero Headline</w:t>
            </w:r>
          </w:p>
          <w:p w14:paraId="542CCE1D" w14:textId="77777777" w:rsidR="003A7B1E" w:rsidRDefault="00000000">
            <w:r>
              <w:rPr>
                <w:i/>
                <w:iCs/>
                <w:color w:val="1F2937"/>
              </w:rPr>
              <w:t>Your business idea, taken seriously.</w:t>
            </w:r>
          </w:p>
        </w:tc>
      </w:tr>
    </w:tbl>
    <w:p w14:paraId="5A40F3FC" w14:textId="77777777" w:rsidR="003A7B1E" w:rsidRDefault="003A7B1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B1E" w14:paraId="22A7082D" w14:textId="77777777">
        <w:tblPrEx>
          <w:tblCellMar>
            <w:top w:w="0" w:type="dxa"/>
            <w:bottom w:w="0" w:type="dxa"/>
          </w:tblCellMar>
        </w:tblPrEx>
        <w:tc>
          <w:tcPr>
            <w:tcW w:w="9360" w:type="dxa"/>
            <w:tcBorders>
              <w:top w:val="single" w:sz="4" w:space="0" w:color="2563EB"/>
              <w:left w:val="single" w:sz="1" w:space="0" w:color="CCCCCC"/>
              <w:bottom w:val="single" w:sz="1" w:space="0" w:color="CCCCCC"/>
              <w:right w:val="single" w:sz="1" w:space="0" w:color="CCCCCC"/>
            </w:tcBorders>
            <w:shd w:val="clear" w:color="auto" w:fill="F8FAFF"/>
            <w:tcMar>
              <w:top w:w="160" w:type="dxa"/>
              <w:left w:w="220" w:type="dxa"/>
              <w:bottom w:w="160" w:type="dxa"/>
              <w:right w:w="220" w:type="dxa"/>
            </w:tcMar>
          </w:tcPr>
          <w:p w14:paraId="08DCF313" w14:textId="77777777" w:rsidR="003A7B1E" w:rsidRDefault="00000000">
            <w:pPr>
              <w:spacing w:after="60"/>
            </w:pPr>
            <w:proofErr w:type="gramStart"/>
            <w:r>
              <w:rPr>
                <w:b/>
                <w:bCs/>
                <w:caps/>
                <w:color w:val="2563EB"/>
                <w:sz w:val="18"/>
                <w:szCs w:val="18"/>
              </w:rPr>
              <w:t>✎  Recommended</w:t>
            </w:r>
            <w:proofErr w:type="gramEnd"/>
            <w:r>
              <w:rPr>
                <w:b/>
                <w:bCs/>
                <w:caps/>
                <w:color w:val="2563EB"/>
                <w:sz w:val="18"/>
                <w:szCs w:val="18"/>
              </w:rPr>
              <w:t xml:space="preserve"> Sub-headline</w:t>
            </w:r>
          </w:p>
          <w:p w14:paraId="1F65E24B" w14:textId="77777777" w:rsidR="003A7B1E" w:rsidRDefault="00000000">
            <w:r>
              <w:rPr>
                <w:i/>
                <w:iCs/>
                <w:color w:val="1F2937"/>
              </w:rPr>
              <w:t>Forge turns one sentence into a structured, investor-ready business plan — drafted by one AI agent, critiqued by another. No templates. No blank pages. No averaging.</w:t>
            </w:r>
          </w:p>
        </w:tc>
      </w:tr>
    </w:tbl>
    <w:p w14:paraId="7CF17146" w14:textId="77777777" w:rsidR="003A7B1E" w:rsidRDefault="003A7B1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B1E" w14:paraId="4A4AC40F" w14:textId="77777777">
        <w:tblPrEx>
          <w:tblCellMar>
            <w:top w:w="0" w:type="dxa"/>
            <w:bottom w:w="0" w:type="dxa"/>
          </w:tblCellMar>
        </w:tblPrEx>
        <w:tc>
          <w:tcPr>
            <w:tcW w:w="9360" w:type="dxa"/>
            <w:tcBorders>
              <w:top w:val="single" w:sz="4" w:space="0" w:color="2563EB"/>
              <w:left w:val="single" w:sz="1" w:space="0" w:color="CCCCCC"/>
              <w:bottom w:val="single" w:sz="1" w:space="0" w:color="CCCCCC"/>
              <w:right w:val="single" w:sz="1" w:space="0" w:color="CCCCCC"/>
            </w:tcBorders>
            <w:shd w:val="clear" w:color="auto" w:fill="F8FAFF"/>
            <w:tcMar>
              <w:top w:w="160" w:type="dxa"/>
              <w:left w:w="220" w:type="dxa"/>
              <w:bottom w:w="160" w:type="dxa"/>
              <w:right w:w="220" w:type="dxa"/>
            </w:tcMar>
          </w:tcPr>
          <w:p w14:paraId="55937CD8" w14:textId="77777777" w:rsidR="003A7B1E" w:rsidRDefault="00000000">
            <w:pPr>
              <w:spacing w:after="60"/>
            </w:pPr>
            <w:proofErr w:type="gramStart"/>
            <w:r>
              <w:rPr>
                <w:b/>
                <w:bCs/>
                <w:caps/>
                <w:color w:val="2563EB"/>
                <w:sz w:val="18"/>
                <w:szCs w:val="18"/>
              </w:rPr>
              <w:t>✎  Primary</w:t>
            </w:r>
            <w:proofErr w:type="gramEnd"/>
            <w:r>
              <w:rPr>
                <w:b/>
                <w:bCs/>
                <w:caps/>
                <w:color w:val="2563EB"/>
                <w:sz w:val="18"/>
                <w:szCs w:val="18"/>
              </w:rPr>
              <w:t xml:space="preserve"> CTA</w:t>
            </w:r>
          </w:p>
          <w:p w14:paraId="16295266" w14:textId="77777777" w:rsidR="003A7B1E" w:rsidRDefault="00000000">
            <w:r>
              <w:rPr>
                <w:i/>
                <w:iCs/>
                <w:color w:val="1F2937"/>
              </w:rPr>
              <w:t>Generate my plan — it's free →</w:t>
            </w:r>
          </w:p>
        </w:tc>
      </w:tr>
    </w:tbl>
    <w:p w14:paraId="31504559" w14:textId="77777777" w:rsidR="003A7B1E" w:rsidRDefault="003A7B1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B1E" w14:paraId="578558A0" w14:textId="77777777">
        <w:tblPrEx>
          <w:tblCellMar>
            <w:top w:w="0" w:type="dxa"/>
            <w:bottom w:w="0" w:type="dxa"/>
          </w:tblCellMar>
        </w:tblPrEx>
        <w:tc>
          <w:tcPr>
            <w:tcW w:w="9360" w:type="dxa"/>
            <w:tcBorders>
              <w:top w:val="single" w:sz="4" w:space="0" w:color="2563EB"/>
              <w:left w:val="single" w:sz="1" w:space="0" w:color="CCCCCC"/>
              <w:bottom w:val="single" w:sz="1" w:space="0" w:color="CCCCCC"/>
              <w:right w:val="single" w:sz="1" w:space="0" w:color="CCCCCC"/>
            </w:tcBorders>
            <w:shd w:val="clear" w:color="auto" w:fill="F8FAFF"/>
            <w:tcMar>
              <w:top w:w="160" w:type="dxa"/>
              <w:left w:w="220" w:type="dxa"/>
              <w:bottom w:w="160" w:type="dxa"/>
              <w:right w:w="220" w:type="dxa"/>
            </w:tcMar>
          </w:tcPr>
          <w:p w14:paraId="6F812F43" w14:textId="77777777" w:rsidR="003A7B1E" w:rsidRDefault="00000000">
            <w:pPr>
              <w:spacing w:after="60"/>
            </w:pPr>
            <w:proofErr w:type="gramStart"/>
            <w:r>
              <w:rPr>
                <w:b/>
                <w:bCs/>
                <w:caps/>
                <w:color w:val="2563EB"/>
                <w:sz w:val="18"/>
                <w:szCs w:val="18"/>
              </w:rPr>
              <w:t>✎  Secondary</w:t>
            </w:r>
            <w:proofErr w:type="gramEnd"/>
            <w:r>
              <w:rPr>
                <w:b/>
                <w:bCs/>
                <w:caps/>
                <w:color w:val="2563EB"/>
                <w:sz w:val="18"/>
                <w:szCs w:val="18"/>
              </w:rPr>
              <w:t xml:space="preserve"> CTA</w:t>
            </w:r>
          </w:p>
          <w:p w14:paraId="49FF0591" w14:textId="77777777" w:rsidR="003A7B1E" w:rsidRDefault="00000000">
            <w:r>
              <w:rPr>
                <w:i/>
                <w:iCs/>
                <w:color w:val="1F2937"/>
              </w:rPr>
              <w:t>See a sample plan first →</w:t>
            </w:r>
          </w:p>
        </w:tc>
      </w:tr>
    </w:tbl>
    <w:p w14:paraId="31A5E0DF" w14:textId="77777777" w:rsidR="003A7B1E" w:rsidRDefault="003A7B1E">
      <w:pPr>
        <w:spacing w:before="120"/>
      </w:pPr>
    </w:p>
    <w:p w14:paraId="43B09052" w14:textId="77777777" w:rsidR="003A7B1E" w:rsidRDefault="00000000">
      <w:pPr>
        <w:spacing w:before="80" w:after="120"/>
      </w:pPr>
      <w:r>
        <w:rPr>
          <w:color w:val="374151"/>
        </w:rPr>
        <w:t>"It's free" in the CTA removes the hesitation of unknown cost. "Investor-ready" sets the quality expectation. "No averaging" directly addresses the generic-LLM-output objection a technical audience will have before they even click.</w:t>
      </w:r>
    </w:p>
    <w:p w14:paraId="679D744D" w14:textId="77777777" w:rsidR="003A7B1E" w:rsidRDefault="00000000">
      <w:r>
        <w:br/>
      </w:r>
    </w:p>
    <w:p w14:paraId="7587F807" w14:textId="77777777" w:rsidR="003A7B1E" w:rsidRDefault="00000000">
      <w:pPr>
        <w:pStyle w:val="Heading2"/>
      </w:pPr>
      <w:r>
        <w:t>Closing Note</w:t>
      </w:r>
    </w:p>
    <w:p w14:paraId="7C4319A7" w14:textId="77777777" w:rsidR="003A7B1E" w:rsidRDefault="00000000">
      <w:pPr>
        <w:spacing w:before="80" w:after="120"/>
      </w:pPr>
      <w:r>
        <w:rPr>
          <w:color w:val="374151"/>
        </w:rPr>
        <w:t xml:space="preserve">You are not starting from zero. You are starting with three live products, one production client, and a body of case study writing that is genuinely rare in quality. The gap between where you </w:t>
      </w:r>
      <w:r>
        <w:rPr>
          <w:color w:val="374151"/>
        </w:rPr>
        <w:lastRenderedPageBreak/>
        <w:t>are and your first $5,000–$10,000 freelance engagement is not a skills gap — it is a communication gap.</w:t>
      </w:r>
    </w:p>
    <w:p w14:paraId="353C1846" w14:textId="77777777" w:rsidR="003A7B1E" w:rsidRDefault="00000000">
      <w:pPr>
        <w:spacing w:before="80" w:after="120"/>
      </w:pPr>
      <w:r>
        <w:rPr>
          <w:color w:val="374151"/>
        </w:rPr>
        <w:t>Everything in this document is aimed at closing that gap. The work is done. Now make it easy for buyers to find it, trust it, and act on it.</w:t>
      </w:r>
    </w:p>
    <w:p w14:paraId="5D7C11F7" w14:textId="77777777" w:rsidR="003A7B1E" w:rsidRDefault="003A7B1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B1E" w14:paraId="5E21B7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F"/>
            <w:tcMar>
              <w:top w:w="180" w:type="dxa"/>
              <w:left w:w="240" w:type="dxa"/>
              <w:bottom w:w="180" w:type="dxa"/>
              <w:right w:w="240" w:type="dxa"/>
            </w:tcMar>
          </w:tcPr>
          <w:p w14:paraId="7BCA1714" w14:textId="77777777" w:rsidR="003A7B1E" w:rsidRDefault="00000000">
            <w:pPr>
              <w:spacing w:after="60"/>
            </w:pPr>
            <w:r>
              <w:rPr>
                <w:b/>
                <w:bCs/>
                <w:caps/>
                <w:color w:val="2563EB"/>
                <w:sz w:val="20"/>
                <w:szCs w:val="20"/>
              </w:rPr>
              <w:t>The One-Sentence Summary</w:t>
            </w:r>
          </w:p>
          <w:p w14:paraId="12E45F1E" w14:textId="77777777" w:rsidR="003A7B1E" w:rsidRDefault="00000000">
            <w:r>
              <w:rPr>
                <w:color w:val="374151"/>
              </w:rPr>
              <w:t>Stop writing for people who build things. Start writing for people who need things built. That single shift, applied consistently across your portfolio and products, is the difference between a portfolio people admire and a portfolio that pays.</w:t>
            </w:r>
          </w:p>
        </w:tc>
      </w:tr>
    </w:tbl>
    <w:p w14:paraId="4E82B22F" w14:textId="77777777" w:rsidR="003A7B1E" w:rsidRDefault="003A7B1E">
      <w:pPr>
        <w:spacing w:before="120"/>
      </w:pPr>
    </w:p>
    <w:p w14:paraId="06FA9669" w14:textId="77777777" w:rsidR="003A7B1E" w:rsidRDefault="00000000">
      <w:pPr>
        <w:spacing w:before="120" w:after="60"/>
      </w:pPr>
      <w:r>
        <w:rPr>
          <w:i/>
          <w:iCs/>
          <w:color w:val="6B7280"/>
        </w:rPr>
        <w:t>— Prepared with strategic intent. Execute with urgency.</w:t>
      </w:r>
    </w:p>
    <w:sectPr w:rsidR="003A7B1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05483"/>
    <w:multiLevelType w:val="hybridMultilevel"/>
    <w:tmpl w:val="CF382656"/>
    <w:lvl w:ilvl="0" w:tplc="30E89720">
      <w:start w:val="1"/>
      <w:numFmt w:val="bullet"/>
      <w:lvlText w:val="•"/>
      <w:lvlJc w:val="left"/>
      <w:pPr>
        <w:ind w:left="720" w:hanging="360"/>
      </w:pPr>
    </w:lvl>
    <w:lvl w:ilvl="1" w:tplc="3D58AED8">
      <w:numFmt w:val="decimal"/>
      <w:lvlText w:val=""/>
      <w:lvlJc w:val="left"/>
    </w:lvl>
    <w:lvl w:ilvl="2" w:tplc="0EC4F49E">
      <w:numFmt w:val="decimal"/>
      <w:lvlText w:val=""/>
      <w:lvlJc w:val="left"/>
    </w:lvl>
    <w:lvl w:ilvl="3" w:tplc="176037F6">
      <w:numFmt w:val="decimal"/>
      <w:lvlText w:val=""/>
      <w:lvlJc w:val="left"/>
    </w:lvl>
    <w:lvl w:ilvl="4" w:tplc="5D620CC8">
      <w:numFmt w:val="decimal"/>
      <w:lvlText w:val=""/>
      <w:lvlJc w:val="left"/>
    </w:lvl>
    <w:lvl w:ilvl="5" w:tplc="CB68FBDE">
      <w:numFmt w:val="decimal"/>
      <w:lvlText w:val=""/>
      <w:lvlJc w:val="left"/>
    </w:lvl>
    <w:lvl w:ilvl="6" w:tplc="3684CA3A">
      <w:numFmt w:val="decimal"/>
      <w:lvlText w:val=""/>
      <w:lvlJc w:val="left"/>
    </w:lvl>
    <w:lvl w:ilvl="7" w:tplc="CCD21890">
      <w:numFmt w:val="decimal"/>
      <w:lvlText w:val=""/>
      <w:lvlJc w:val="left"/>
    </w:lvl>
    <w:lvl w:ilvl="8" w:tplc="BA967F34">
      <w:numFmt w:val="decimal"/>
      <w:lvlText w:val=""/>
      <w:lvlJc w:val="left"/>
    </w:lvl>
  </w:abstractNum>
  <w:abstractNum w:abstractNumId="1" w15:restartNumberingAfterBreak="0">
    <w:nsid w:val="688F0256"/>
    <w:multiLevelType w:val="hybridMultilevel"/>
    <w:tmpl w:val="A3E055CA"/>
    <w:lvl w:ilvl="0" w:tplc="B1FA37BE">
      <w:start w:val="1"/>
      <w:numFmt w:val="decimal"/>
      <w:lvlText w:val="%1."/>
      <w:lvlJc w:val="left"/>
      <w:pPr>
        <w:ind w:left="720" w:hanging="360"/>
      </w:pPr>
    </w:lvl>
    <w:lvl w:ilvl="1" w:tplc="DC66CF56">
      <w:numFmt w:val="decimal"/>
      <w:lvlText w:val=""/>
      <w:lvlJc w:val="left"/>
    </w:lvl>
    <w:lvl w:ilvl="2" w:tplc="B2528A3A">
      <w:numFmt w:val="decimal"/>
      <w:lvlText w:val=""/>
      <w:lvlJc w:val="left"/>
    </w:lvl>
    <w:lvl w:ilvl="3" w:tplc="7E749F8C">
      <w:numFmt w:val="decimal"/>
      <w:lvlText w:val=""/>
      <w:lvlJc w:val="left"/>
    </w:lvl>
    <w:lvl w:ilvl="4" w:tplc="2DA8E9C8">
      <w:numFmt w:val="decimal"/>
      <w:lvlText w:val=""/>
      <w:lvlJc w:val="left"/>
    </w:lvl>
    <w:lvl w:ilvl="5" w:tplc="28F4681C">
      <w:numFmt w:val="decimal"/>
      <w:lvlText w:val=""/>
      <w:lvlJc w:val="left"/>
    </w:lvl>
    <w:lvl w:ilvl="6" w:tplc="6EAE97B2">
      <w:numFmt w:val="decimal"/>
      <w:lvlText w:val=""/>
      <w:lvlJc w:val="left"/>
    </w:lvl>
    <w:lvl w:ilvl="7" w:tplc="1D964E7C">
      <w:numFmt w:val="decimal"/>
      <w:lvlText w:val=""/>
      <w:lvlJc w:val="left"/>
    </w:lvl>
    <w:lvl w:ilvl="8" w:tplc="428C41FA">
      <w:numFmt w:val="decimal"/>
      <w:lvlText w:val=""/>
      <w:lvlJc w:val="left"/>
    </w:lvl>
  </w:abstractNum>
  <w:abstractNum w:abstractNumId="2" w15:restartNumberingAfterBreak="0">
    <w:nsid w:val="6EB43441"/>
    <w:multiLevelType w:val="hybridMultilevel"/>
    <w:tmpl w:val="A8788FEC"/>
    <w:lvl w:ilvl="0" w:tplc="FB3CC752">
      <w:start w:val="1"/>
      <w:numFmt w:val="bullet"/>
      <w:lvlText w:val="●"/>
      <w:lvlJc w:val="left"/>
      <w:pPr>
        <w:ind w:left="720" w:hanging="360"/>
      </w:pPr>
    </w:lvl>
    <w:lvl w:ilvl="1" w:tplc="1792B0F8">
      <w:start w:val="1"/>
      <w:numFmt w:val="bullet"/>
      <w:lvlText w:val="○"/>
      <w:lvlJc w:val="left"/>
      <w:pPr>
        <w:ind w:left="1440" w:hanging="360"/>
      </w:pPr>
    </w:lvl>
    <w:lvl w:ilvl="2" w:tplc="C7849D62">
      <w:start w:val="1"/>
      <w:numFmt w:val="bullet"/>
      <w:lvlText w:val="■"/>
      <w:lvlJc w:val="left"/>
      <w:pPr>
        <w:ind w:left="2160" w:hanging="360"/>
      </w:pPr>
    </w:lvl>
    <w:lvl w:ilvl="3" w:tplc="55728EF2">
      <w:start w:val="1"/>
      <w:numFmt w:val="bullet"/>
      <w:lvlText w:val="●"/>
      <w:lvlJc w:val="left"/>
      <w:pPr>
        <w:ind w:left="2880" w:hanging="360"/>
      </w:pPr>
    </w:lvl>
    <w:lvl w:ilvl="4" w:tplc="765E59D8">
      <w:start w:val="1"/>
      <w:numFmt w:val="bullet"/>
      <w:lvlText w:val="○"/>
      <w:lvlJc w:val="left"/>
      <w:pPr>
        <w:ind w:left="3600" w:hanging="360"/>
      </w:pPr>
    </w:lvl>
    <w:lvl w:ilvl="5" w:tplc="120A7E2E">
      <w:start w:val="1"/>
      <w:numFmt w:val="bullet"/>
      <w:lvlText w:val="■"/>
      <w:lvlJc w:val="left"/>
      <w:pPr>
        <w:ind w:left="4320" w:hanging="360"/>
      </w:pPr>
    </w:lvl>
    <w:lvl w:ilvl="6" w:tplc="0B308588">
      <w:start w:val="1"/>
      <w:numFmt w:val="bullet"/>
      <w:lvlText w:val="●"/>
      <w:lvlJc w:val="left"/>
      <w:pPr>
        <w:ind w:left="5040" w:hanging="360"/>
      </w:pPr>
    </w:lvl>
    <w:lvl w:ilvl="7" w:tplc="2B06DF30">
      <w:start w:val="1"/>
      <w:numFmt w:val="bullet"/>
      <w:lvlText w:val="●"/>
      <w:lvlJc w:val="left"/>
      <w:pPr>
        <w:ind w:left="5760" w:hanging="360"/>
      </w:pPr>
    </w:lvl>
    <w:lvl w:ilvl="8" w:tplc="C5222E1E">
      <w:start w:val="1"/>
      <w:numFmt w:val="bullet"/>
      <w:lvlText w:val="●"/>
      <w:lvlJc w:val="left"/>
      <w:pPr>
        <w:ind w:left="6480" w:hanging="360"/>
      </w:pPr>
    </w:lvl>
  </w:abstractNum>
  <w:num w:numId="1" w16cid:durableId="9152874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B1E"/>
    <w:rsid w:val="003A7B1E"/>
    <w:rsid w:val="004100A8"/>
    <w:rsid w:val="007A081F"/>
    <w:rsid w:val="007C621E"/>
    <w:rsid w:val="008D3D66"/>
    <w:rsid w:val="00907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742A2"/>
  <w15:docId w15:val="{9A17DCAF-39A0-4EAB-B324-5F51A21FC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0A0A0B"/>
      <w:sz w:val="40"/>
      <w:szCs w:val="40"/>
    </w:rPr>
  </w:style>
  <w:style w:type="paragraph" w:styleId="Heading2">
    <w:name w:val="heading 2"/>
    <w:uiPriority w:val="9"/>
    <w:unhideWhenUsed/>
    <w:qFormat/>
    <w:pPr>
      <w:spacing w:before="360" w:after="120"/>
      <w:outlineLvl w:val="1"/>
    </w:pPr>
    <w:rPr>
      <w:b/>
      <w:bCs/>
      <w:color w:val="1E3A5F"/>
      <w:sz w:val="30"/>
      <w:szCs w:val="30"/>
    </w:rPr>
  </w:style>
  <w:style w:type="paragraph" w:styleId="Heading3">
    <w:name w:val="heading 3"/>
    <w:uiPriority w:val="9"/>
    <w:unhideWhenUsed/>
    <w:qFormat/>
    <w:pPr>
      <w:spacing w:before="24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2af2c44-2a68-44e7-8484-25c476ff5f6c}" enabled="1" method="Privileged" siteId="{cd6683a6-aa85-46cf-aeea-92d4a1477009}"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5</Pages>
  <Words>1026</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Nsikakobong Ubom</cp:lastModifiedBy>
  <cp:revision>4</cp:revision>
  <dcterms:created xsi:type="dcterms:W3CDTF">2026-06-11T05:04:00Z</dcterms:created>
  <dcterms:modified xsi:type="dcterms:W3CDTF">2026-06-11T05:16:00Z</dcterms:modified>
</cp:coreProperties>
</file>