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Calibri" w:hAnsi="Calibri"/>
          <w:b/>
          <w:color w:val="1A1A2E"/>
          <w:sz w:val="36"/>
        </w:rPr>
        <w:t>JR Validated Environment — MSA Module</w:t>
      </w:r>
    </w:p>
    <w:p>
      <w:pPr>
        <w:spacing w:after="80"/>
        <w:jc w:val="center"/>
      </w:pPr>
      <w:r>
        <w:rPr>
          <w:rFonts w:ascii="Calibri" w:hAnsi="Calibri"/>
          <w:b/>
          <w:color w:val="1A1A2E"/>
          <w:sz w:val="26"/>
        </w:rPr>
        <w:t>User Guide for Measurement System Analysis</w:t>
      </w:r>
    </w:p>
    <w:p>
      <w:pPr>
        <w:jc w:val="center"/>
      </w:pPr>
      <w:r>
        <w:rPr>
          <w:rFonts w:ascii="Calibri" w:hAnsi="Calibri"/>
          <w:sz w:val="20"/>
        </w:rPr>
        <w:t>Version 1.0  |  Date: 2026-03-18  |  Audience: Design Engineers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1. How to Use This Guide</w:t>
      </w:r>
    </w:p>
    <w:p>
      <w:pPr>
        <w:spacing w:before="40" w:after="80"/>
      </w:pPr>
      <w:r>
        <w:rPr>
          <w:rFonts w:ascii="Calibri" w:hAnsi="Calibri"/>
          <w:sz w:val="20"/>
        </w:rPr>
        <w:t>This guide describes the five MSA scripts available in the JR Validated Environment. Each script covers a distinct phase or approach to qualifying a measurement system. Choose the workflow that matches your test type and stage in development.</w:t>
      </w:r>
    </w:p>
    <w:p>
      <w:pPr>
        <w:spacing w:before="40" w:after="80"/>
      </w:pPr>
      <w:r>
        <w:rPr>
          <w:rFonts w:ascii="Calibri" w:hAnsi="Calibri"/>
          <w:sz w:val="20"/>
        </w:rPr>
        <w:t>The five MSA scripts cover three workflows: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Before using a gauge for continuous measurements: Type 1 study → Gauge R&amp;R → Linearity &amp; Bias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For destructive/semi-destructive testing: Nested Gauge R&amp;R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For attribute (pass/fail) inspection systems: Attribute Agreement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4"/>
      </w:tblGrid>
      <w:tr>
        <w:tc>
          <w:tcPr>
            <w:tcW w:type="dxa" w:w="9124"/>
            <w:shd w:val="clear" w:color="auto" w:fill="E8F0F7"/>
          </w:tcPr>
          <w:p>
            <w:r>
              <w:rPr>
                <w:rFonts w:ascii="Calibri" w:hAnsi="Calibri"/>
                <w:b/>
                <w:sz w:val="20"/>
              </w:rPr>
              <w:t xml:space="preserve">INFO:  </w:t>
            </w:r>
            <w:r>
              <w:rPr>
                <w:rFonts w:ascii="Calibri" w:hAnsi="Calibri"/>
                <w:sz w:val="20"/>
              </w:rPr>
              <w:t>Run Type 1 first (Section 2.3) before a full Gauge R&amp;R (Section 2.1). Type 1 uses a single reference part and is quick to run. Gauge R&amp;R requires multiple operators and is a larger study.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2. Quick Reference Table</w:t>
      </w:r>
    </w:p>
    <w:p>
      <w:pPr>
        <w:spacing w:before="40" w:after="80"/>
      </w:pPr>
      <w:r>
        <w:rPr>
          <w:rFonts w:ascii="Calibri" w:hAnsi="Calibri"/>
          <w:sz w:val="20"/>
        </w:rPr>
        <w:t>Find the row that matches what you are trying to do, then go to the section listed.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47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 want to…</w:t>
            </w:r>
          </w:p>
        </w:tc>
        <w:tc>
          <w:tcPr>
            <w:tcW w:type="dxa" w:w="3168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1296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Qualify a continuous gauge — full study (operators × parts × replicates)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jrc_msa_gauge_rr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2.1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Qualify a gauge for destructive testing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jrc_msa_nested_grr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2.2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Quick gauge capability check (single reference part)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jrc_msa_type1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2.3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Assess gauge accuracy across its measurement range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jrc_msa_linearity_bias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2.4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Qualify an attribute (pass/fail) inspection system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jrc_msa_attribute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2.5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3. Understanding the Results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3.1  %GRR (Gauge R&amp;R and Nested GRR)</w:t>
      </w:r>
    </w:p>
    <w:p>
      <w:pPr>
        <w:spacing w:before="40" w:after="80"/>
      </w:pPr>
      <w:r>
        <w:rPr>
          <w:rFonts w:ascii="Calibri" w:hAnsi="Calibri"/>
          <w:sz w:val="20"/>
        </w:rPr>
        <w:t>%GRR tells you what fraction of the total observed variation comes from the measurement system itself. Industry rule: &lt; 10% Acceptable, 10–30% Marginal, &gt; 30% Unacceptable. The ndc (number of distinct categories) must be ≥ 5.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3.2  Cg and Cgk (Type 1 study)</w:t>
      </w:r>
    </w:p>
    <w:p>
      <w:pPr>
        <w:spacing w:before="40" w:after="80"/>
      </w:pPr>
      <w:r>
        <w:rPr>
          <w:rFonts w:ascii="Calibri" w:hAnsi="Calibri"/>
          <w:sz w:val="20"/>
        </w:rPr>
        <w:t>Cg measures the gauge’s spread relative to the tolerance. Cgk adjusts for bias. Both must be ≥ 1.33. If Cgk &lt; Cg, the gauge has a systematic offset — investigate and re-centre before proceeding.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3.3  Linearity and Bias</w:t>
      </w:r>
    </w:p>
    <w:p>
      <w:pPr>
        <w:spacing w:before="40" w:after="80"/>
      </w:pPr>
      <w:r>
        <w:rPr>
          <w:rFonts w:ascii="Calibri" w:hAnsi="Calibri"/>
          <w:sz w:val="20"/>
        </w:rPr>
        <w:t>A flat regression line (slope ≈ 0) means the gauge bias is consistent across its range. A significant slope means the gauge reads high at one end and low at the other — it must be re-calibrated or its use restricted to a narrower range.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3.4  Kappa (Attribute Agreement)</w:t>
      </w:r>
    </w:p>
    <w:p>
      <w:pPr>
        <w:spacing w:before="40" w:after="80"/>
      </w:pPr>
      <w:r>
        <w:rPr>
          <w:rFonts w:ascii="Calibri" w:hAnsi="Calibri"/>
          <w:sz w:val="20"/>
        </w:rPr>
        <w:t>Kappa measures inter-rater agreement beyond chance. ≥ 0.9 Acceptable, 0.7–0.9 Marginal, &lt; 0.7 Unacceptable. Fleiss’ Kappa covers all appraisers simultaneously; Cohen’s Kappa covers each appraiser internally (trial 1 vs trial 2) or vs reference.</w:t>
      </w:r>
    </w:p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4. Per-Script Reference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4.1  jrc_msa_gauge_rr — Standard Gauge R&amp;R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When do I use this?</w:t>
      </w:r>
    </w:p>
    <w:p>
      <w:pPr>
        <w:spacing w:before="40" w:after="80"/>
      </w:pPr>
      <w:r>
        <w:rPr>
          <w:rFonts w:ascii="Calibri" w:hAnsi="Calibri"/>
          <w:sz w:val="20"/>
        </w:rPr>
        <w:t>Use when the same physical parts can be measured by all operators. This is the standard Gauge R&amp;R study: multiple operators each measure the same set of parts multiple times. Use this before relying on a measurement system for design verification.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do I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2"/>
        <w:gridCol w:w="4562"/>
      </w:tblGrid>
      <w:tr>
        <w:tc>
          <w:tcPr>
            <w:tcW w:type="dxa" w:w="259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7344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provide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data.csv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CSV with columns: part, operator, value. Design must be balanced: every part-operator combination must have the same number of replicates (typically 2–3). Minimum: 2 parts, 2 operators, 2 replicates per cell.</w:t>
            </w:r>
          </w:p>
        </w:tc>
      </w:tr>
      <w:tr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--tolerance &lt;value&gt;</w:t>
            </w:r>
          </w:p>
        </w:tc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Optional. Process tolerance (USL − LSL). When supplied, %GRR is also expressed as a fraction of the tolerance width.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Example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jrc_msa_gauge_rr ~/msa/gauge_study.csv --tolerance 0.50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to look for in the output</w:t>
      </w:r>
    </w:p>
    <w:p>
      <w:pPr>
        <w:spacing w:before="40" w:after="80"/>
      </w:pPr>
      <w:r>
        <w:rPr>
          <w:rFonts w:ascii="Calibri" w:hAnsi="Calibri"/>
          <w:sz w:val="20"/>
        </w:rPr>
        <w:t>Check %GRR in the Verdict section. Look for %GRR &lt; 10% (Acceptable) or &lt; 30% (Marginal). The ndc (number of distinct categories) must be ≥ 5. The four-panel PNG shows components of variation, by-part, by-operator, and an operator×part interaction plot — a flat interaction plot means operator differences are consistent across all parts.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4.2  jrc_msa_nested_grr — Nested Gauge R&amp;R (Destructive)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When do I use this?</w:t>
      </w:r>
    </w:p>
    <w:p>
      <w:pPr>
        <w:spacing w:before="40" w:after="80"/>
      </w:pPr>
      <w:r>
        <w:rPr>
          <w:rFonts w:ascii="Calibri" w:hAnsi="Calibri"/>
          <w:sz w:val="20"/>
        </w:rPr>
        <w:t>Use when each operator receives their own set of specimens that cannot be shared — for example, tensile testing, chemical analysis, or any test that destroys or permanently alters the specimen.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do I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2"/>
        <w:gridCol w:w="4562"/>
      </w:tblGrid>
      <w:tr>
        <w:tc>
          <w:tcPr>
            <w:tcW w:type="dxa" w:w="259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7344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provide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data.csv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CSV with columns: operator, part, replicate, value. Parts are nested within operators — each part belongs to exactly one operator. Part IDs may be reused across operators (operator A’s part 1 and operator B’s part 1 are different physical specimens). Each operator must have the same number of parts and each operator-part cell must have the same number of replicates (≥ 2).</w:t>
            </w:r>
          </w:p>
        </w:tc>
      </w:tr>
      <w:tr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--tolerance &lt;value&gt;</w:t>
            </w:r>
          </w:p>
        </w:tc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Optional. Process tolerance (USL − LSL).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Example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jrc_msa_nested_grr ~/msa/destructive_study.csv --tolerance 10.0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to look for in the output</w:t>
      </w:r>
    </w:p>
    <w:p>
      <w:pPr>
        <w:spacing w:before="40" w:after="80"/>
      </w:pPr>
      <w:r>
        <w:rPr>
          <w:rFonts w:ascii="Calibri" w:hAnsi="Calibri"/>
          <w:sz w:val="20"/>
        </w:rPr>
        <w:t>Interpret %GRR the same way as a standard Gauge R&amp;R (&lt; 10% Acceptable, &lt; 30% Marginal). Note: because parts are not shared, the part-to-part estimate is confounded with the operator batch — the analysis assumes all operators received specimens from the same population.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4"/>
      </w:tblGrid>
      <w:tr>
        <w:tc>
          <w:tcPr>
            <w:tcW w:type="dxa" w:w="9124"/>
            <w:shd w:val="clear" w:color="auto" w:fill="FFF3CD"/>
          </w:tcPr>
          <w:p>
            <w:r>
              <w:rPr>
                <w:rFonts w:ascii="Calibri" w:hAnsi="Calibri"/>
                <w:b/>
                <w:sz w:val="20"/>
              </w:rPr>
              <w:t xml:space="preserve">WARNING:  </w:t>
            </w:r>
            <w:r>
              <w:rPr>
                <w:rFonts w:ascii="Calibri" w:hAnsi="Calibri"/>
                <w:sz w:val="20"/>
              </w:rPr>
              <w:t>Nested GRR limitation: Because parts are not crossed across operators, part-to-part variation and reproducibility are partially aliased. The %GRR estimate is conservative. If parts can physically be shared without being destroyed, run jrc_msa_gauge_rr instead.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4.3  jrc_msa_type1 — Type 1 Gauge Study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When do I use this?</w:t>
      </w:r>
    </w:p>
    <w:p>
      <w:pPr>
        <w:spacing w:before="40" w:after="80"/>
      </w:pPr>
      <w:r>
        <w:rPr>
          <w:rFonts w:ascii="Calibri" w:hAnsi="Calibri"/>
          <w:sz w:val="20"/>
        </w:rPr>
        <w:t>Use for a quick initial gauge capability check before committing to a full Gauge R&amp;R study. A single reference part of known value is measured repeatedly under the same conditions. The study quantifies the gauge’s spread (Cg) and any systematic bias (Cgk).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do I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2"/>
        <w:gridCol w:w="4562"/>
      </w:tblGrid>
      <w:tr>
        <w:tc>
          <w:tcPr>
            <w:tcW w:type="dxa" w:w="259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7344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provide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data.csv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CSV with a ‘value’ column. Optionally an ‘id’ column for the run chart x-axis. Minimum 10 measurements; 25–50 are typical.</w:t>
            </w:r>
          </w:p>
        </w:tc>
      </w:tr>
      <w:tr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--reference &lt;value&gt;</w:t>
            </w:r>
          </w:p>
        </w:tc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Required. The known true value of the reference part (e.g. from a certified reference artefact).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--tolerance &lt;value&gt;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Required. The process tolerance (USL − LSL) the gauge is intended to support.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Example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jrc_msa_type1 ~/msa/type1_study.csv --reference 50.0 --tolerance 1.0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to look for in the output</w:t>
      </w:r>
    </w:p>
    <w:p>
      <w:pPr>
        <w:spacing w:before="40" w:after="80"/>
      </w:pPr>
      <w:r>
        <w:rPr>
          <w:rFonts w:ascii="Calibri" w:hAnsi="Calibri"/>
          <w:sz w:val="20"/>
        </w:rPr>
        <w:t>Cg ≥ 1.33 and Cgk ≥ 1.33 are required. If Cg ≥ 1.33 but Cgk &lt; 1.33, the gauge is precise but offset — check calibration. If both are below 1.33, the gauge variability is too large for this tolerance. The run chart shows whether variability is stable over time; the histogram shows whether it follows a normal distribution.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4.4  jrc_msa_linearity_bias — Linearity and Bias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When do I use this?</w:t>
      </w:r>
    </w:p>
    <w:p>
      <w:pPr>
        <w:spacing w:before="40" w:after="80"/>
      </w:pPr>
      <w:r>
        <w:rPr>
          <w:rFonts w:ascii="Calibri" w:hAnsi="Calibri"/>
          <w:sz w:val="20"/>
        </w:rPr>
        <w:t>Use to check whether a gauge has a consistent bias across its measurement range, or whether its accuracy changes at low vs high values. Run after Type 1 and Gauge R&amp;R for a complete MSA picture.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do I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2"/>
        <w:gridCol w:w="4562"/>
      </w:tblGrid>
      <w:tr>
        <w:tc>
          <w:tcPr>
            <w:tcW w:type="dxa" w:w="259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7344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provide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data.csv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CSV with columns: part, reference, value. Each part must have a fixed reference value. At least 2 (ideally 5+) distinct reference levels covering the gauge’s operating range. Multiple replicates per reference level are recommended.</w:t>
            </w:r>
          </w:p>
        </w:tc>
      </w:tr>
      <w:tr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--tolerance &lt;value&gt;</w:t>
            </w:r>
          </w:p>
        </w:tc>
        <w:tc>
          <w:tcPr>
            <w:tcW w:type="dxa" w:w="4562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Optional. Process tolerance.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Example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jrc_msa_linearity_bias ~/msa/linearity_study.csv --tolerance 5.0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to look for in the output</w:t>
      </w:r>
    </w:p>
    <w:p>
      <w:pPr>
        <w:spacing w:before="40" w:after="80"/>
      </w:pPr>
      <w:r>
        <w:rPr>
          <w:rFonts w:ascii="Calibri" w:hAnsi="Calibri"/>
          <w:sz w:val="20"/>
        </w:rPr>
        <w:t>A non-significant slope (p &gt; 0.05) means bias is consistent across the range — acceptable. A significant slope means the gauge reads differently at different reference levels — investigate calibration or restrict the gauge’s working range. Per-part bias bars show which reference levels have the largest offset.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6"/>
        </w:rPr>
        <w:t>4.5  jrc_msa_attribute — Attribute Agreement Analysis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When do I use this?</w:t>
      </w:r>
    </w:p>
    <w:p>
      <w:pPr>
        <w:spacing w:before="40" w:after="80"/>
      </w:pPr>
      <w:r>
        <w:rPr>
          <w:rFonts w:ascii="Calibri" w:hAnsi="Calibri"/>
          <w:sz w:val="20"/>
        </w:rPr>
        <w:t>Use to qualify an inspection system that produces categorical results (Pass/Fail, Grade A/B/C, Accept/Reject). Multiple appraisers each inspect the same set of parts multiple times.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do I need?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2"/>
        <w:gridCol w:w="4562"/>
      </w:tblGrid>
      <w:tr>
        <w:tc>
          <w:tcPr>
            <w:tcW w:type="dxa" w:w="2592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7344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provide</w:t>
            </w:r>
          </w:p>
        </w:tc>
      </w:tr>
      <w:tr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data.csv</w:t>
            </w:r>
          </w:p>
        </w:tc>
        <w:tc>
          <w:tcPr>
            <w:tcW w:type="dxa" w:w="4562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CSV with columns: part, appraiser, trial, rating. The design must be balanced: every appraiser-part combination must have the same number of trials (≥ 2). The ‘rating’ column contains the categorical result (any text or number). Optionally include a ‘reference’ column with the known correct rating for each part — this enables the vs-reference Kappa calculation.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Examples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jrc_msa_attribute ~/msa/attribute_study.csv</w:t>
      </w:r>
    </w:p>
    <w:p>
      <w:pPr>
        <w:spacing w:before="40" w:after="40"/>
        <w:ind w:left="576"/>
      </w:pPr>
      <w:r>
        <w:rPr>
          <w:rFonts w:ascii="Courier New" w:hAnsi="Courier New"/>
          <w:sz w:val="18"/>
        </w:rPr>
        <w:t>jrc_msa_attribute ~/msa/attribute_study_with_ref.csv</w:t>
      </w:r>
    </w:p>
    <w:p>
      <w:pPr>
        <w:spacing w:before="160" w:after="40"/>
      </w:pPr>
      <w:r>
        <w:rPr>
          <w:rFonts w:ascii="Calibri" w:hAnsi="Calibri"/>
          <w:b/>
          <w:color w:val="1A1A2E"/>
          <w:sz w:val="22"/>
        </w:rPr>
        <w:t>What to look for in the output</w:t>
      </w:r>
    </w:p>
    <w:p>
      <w:pPr>
        <w:spacing w:before="40" w:after="80"/>
      </w:pPr>
      <w:r>
        <w:rPr>
          <w:rFonts w:ascii="Calibri" w:hAnsi="Calibri"/>
          <w:sz w:val="20"/>
        </w:rPr>
        <w:t>Within-appraiser Kappa ≥ 0.9 means each appraiser is consistent with themselves. Between-appraiser Fleiss’ Kappa ≥ 0.9 means the inspection system is consistent across operators. If a reference column is present, each appraiser’s Kappa vs reference measures accuracy (not just consistency). Verdict: ≥ 0.9 Acceptable, 0.7–0.9 Marginal, &lt; 0.7 Unacceptable.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4"/>
      </w:tblGrid>
      <w:tr>
        <w:tc>
          <w:tcPr>
            <w:tcW w:type="dxa" w:w="9124"/>
            <w:shd w:val="clear" w:color="auto" w:fill="E8F5E9"/>
          </w:tcPr>
          <w:p>
            <w:r>
              <w:rPr>
                <w:rFonts w:ascii="Calibri" w:hAnsi="Calibri"/>
                <w:b/>
                <w:sz w:val="20"/>
              </w:rPr>
              <w:t xml:space="preserve">TIP:  </w:t>
            </w:r>
            <w:r>
              <w:rPr>
                <w:rFonts w:ascii="Calibri" w:hAnsi="Calibri"/>
                <w:sz w:val="20"/>
              </w:rPr>
              <w:t>The reference column should contain the ‘ground truth’ rating — for example, ratings from a subject matter expert or certified inspector. Without it, the analysis can only tell you whether appraisers agree with each other, not whether they are correct.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5. Preparing Your Data</w:t>
      </w:r>
    </w:p>
    <w:p>
      <w:pPr>
        <w:spacing w:before="40" w:after="80"/>
      </w:pPr>
      <w:r>
        <w:rPr>
          <w:rFonts w:ascii="Calibri" w:hAnsi="Calibri"/>
          <w:sz w:val="20"/>
        </w:rPr>
        <w:t>Each script expects a CSV file. The table below lists the required and optional columns for each script.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5328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 columns</w:t>
            </w:r>
          </w:p>
        </w:tc>
        <w:tc>
          <w:tcPr>
            <w:tcW w:type="dxa" w:w="1728"/>
            <w:shd w:val="clear" w:color="auto" w:fill="1A1A2E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Optional columns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jrc_msa_gauge_rr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part, operator, value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jrc_msa_nested_grr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operator, part, replicate, value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jrc_msa_type1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value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jrc_msa_linearity_bias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part, reference, value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jrc_msa_attribute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part, appraiser, trial, rating</w:t>
            </w:r>
          </w:p>
        </w:tc>
        <w:tc>
          <w:tcPr>
            <w:tcW w:type="dxa" w:w="3041"/>
            <w:shd w:val="clear" w:color="auto" w:fill="F2F2F2"/>
            <w:vAlign w:val="center"/>
          </w:tcPr>
          <w:p>
            <w:r>
              <w:rPr>
                <w:rFonts w:ascii="Calibri" w:hAnsi="Calibri"/>
                <w:sz w:val="20"/>
              </w:rPr>
              <w:t>reference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0"/>
        </w:rPr>
        <w:t>Column names are case-insensitive. Extra columns are ignored. Numeric values may use European decimal commas (they are automatically converted). The ‘rating’ column in jrc_msa_attribute may contain any text or number.</w:t>
      </w:r>
    </w:p>
    <w:p>
      <w:pPr>
        <w:spacing w:before="280" w:after="80"/>
      </w:pPr>
      <w:r>
        <w:rPr>
          <w:rFonts w:ascii="Calibri" w:hAnsi="Calibri"/>
          <w:b/>
          <w:color w:val="1A1A2E"/>
          <w:sz w:val="28"/>
        </w:rPr>
        <w:t>6. Recommended Study Workflow</w:t>
      </w:r>
    </w:p>
    <w:p>
      <w:pPr>
        <w:spacing w:before="40" w:after="80"/>
      </w:pPr>
      <w:r>
        <w:rPr>
          <w:rFonts w:ascii="Calibri" w:hAnsi="Calibri"/>
          <w:sz w:val="20"/>
        </w:rPr>
        <w:t>Follow this sequence when qualifying a continuous measurement system for design verification:</w:t>
      </w:r>
    </w:p>
    <w:p>
      <w:pPr>
        <w:pStyle w:val="ListNumber"/>
        <w:spacing w:before="40" w:after="40"/>
      </w:pPr>
      <w:r>
        <w:rPr>
          <w:rFonts w:ascii="Calibri" w:hAnsi="Calibri"/>
          <w:sz w:val="20"/>
        </w:rPr>
        <w:t>Run jrc_msa_type1 — quick gauge capability screen (Cg, Cgk). If Cg &lt; 1.33, stop: the gauge is not capable for this tolerance.</w:t>
      </w:r>
    </w:p>
    <w:p>
      <w:pPr>
        <w:pStyle w:val="ListNumber"/>
        <w:spacing w:before="40" w:after="40"/>
      </w:pPr>
      <w:r>
        <w:rPr>
          <w:rFonts w:ascii="Calibri" w:hAnsi="Calibri"/>
          <w:sz w:val="20"/>
        </w:rPr>
        <w:t>Run jrc_msa_gauge_rr (or jrc_msa_nested_grr for destructive testing) — full %GRR study. If %GRR &gt; 30%, stop: the gauge must be improved.</w:t>
      </w:r>
    </w:p>
    <w:p>
      <w:pPr>
        <w:pStyle w:val="ListNumber"/>
        <w:spacing w:before="40" w:after="40"/>
      </w:pPr>
      <w:r>
        <w:rPr>
          <w:rFonts w:ascii="Calibri" w:hAnsi="Calibri"/>
          <w:sz w:val="20"/>
        </w:rPr>
        <w:t>Optionally run jrc_msa_linearity_bias to verify accuracy across the operating range.</w:t>
      </w:r>
    </w:p>
    <w:p>
      <w:pPr>
        <w:pStyle w:val="ListNumber"/>
        <w:spacing w:before="40" w:after="80"/>
      </w:pPr>
      <w:r>
        <w:rPr>
          <w:rFonts w:ascii="Calibri" w:hAnsi="Calibri"/>
          <w:sz w:val="20"/>
        </w:rPr>
        <w:t>Document all three PNG outputs in the Measurement System Qualification record in your DHF.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4"/>
      </w:tblGrid>
      <w:tr>
        <w:tc>
          <w:tcPr>
            <w:tcW w:type="dxa" w:w="9124"/>
            <w:shd w:val="clear" w:color="auto" w:fill="FFF3CD"/>
          </w:tcPr>
          <w:p>
            <w:r>
              <w:rPr>
                <w:rFonts w:ascii="Calibri" w:hAnsi="Calibri"/>
                <w:b/>
                <w:sz w:val="20"/>
              </w:rPr>
              <w:t xml:space="preserve">WARNING:  </w:t>
            </w:r>
            <w:r>
              <w:rPr>
                <w:rFonts w:ascii="Calibri" w:hAnsi="Calibri"/>
                <w:sz w:val="20"/>
              </w:rPr>
              <w:t>Do not proceed to design verification if %GRR &gt; 30% or Cg/Cgk &lt; 1.33. Measurements from an unqualified gauge cannot support FDA submission claims.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