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7760" w14:textId="77777777" w:rsidR="0057382E" w:rsidRPr="0057382E" w:rsidRDefault="0057382E" w:rsidP="0057382E">
      <w:pPr>
        <w:spacing w:before="100" w:beforeAutospacing="1" w:after="100" w:afterAutospacing="1" w:line="240" w:lineRule="auto"/>
        <w:outlineLvl w:val="0"/>
        <w:rPr>
          <w:rFonts w:ascii="Times New Roman" w:eastAsia="Times New Roman" w:hAnsi="Times New Roman" w:cs="Times New Roman"/>
          <w:b/>
          <w:bCs/>
          <w:kern w:val="36"/>
          <w:sz w:val="48"/>
          <w:szCs w:val="48"/>
          <w:lang w:val="en-TR"/>
          <w14:ligatures w14:val="none"/>
        </w:rPr>
      </w:pPr>
      <w:r w:rsidRPr="0057382E">
        <w:rPr>
          <w:rFonts w:ascii="Times New Roman" w:eastAsia="Times New Roman" w:hAnsi="Times New Roman" w:cs="Times New Roman"/>
          <w:b/>
          <w:bCs/>
          <w:kern w:val="36"/>
          <w:sz w:val="48"/>
          <w:szCs w:val="48"/>
          <w:lang w:val="en-TR"/>
          <w14:ligatures w14:val="none"/>
        </w:rPr>
        <w:t>CorteQS TR – Cap Table &amp; Principals (Çalışma Dokümanı)</w:t>
      </w:r>
    </w:p>
    <w:p w14:paraId="4364576C"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Giriş</w:t>
      </w:r>
    </w:p>
    <w:p w14:paraId="7B7A90E3"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 doküman, CorteQS TR SPV'nin Cap Table yapısını, ortaklarını ve görev dağılımını açıklar. CorteQS TR, teknoloji geliştirme ve ürün inovasyonu odaklı bir Special Purpose Vehicle (SPV) olarak yapılandırılmıştır. SPV, tek bir proje veya iş amacı için kurulan bağımsız tüzel kişiliktir ve risklerin sınırlanması, yatırım ve operasyon yönetimi açısından avantaj sağlar.</w:t>
      </w:r>
    </w:p>
    <w:p w14:paraId="4F977F0C" w14:textId="142C0AB5" w:rsidR="00E564B2"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 xml:space="preserve">CorteQS TR SPV, Qualtron Sinclair (QS) altında veya bağımsız bir şirket olarak Delaware'de kurulabilir. QS altında ikinci bir SPV olarak konumlanması, yönetim kolaylığı, shared services (muhasebe, legal, network) ve operasyonel destek avantajı sağlar. </w:t>
      </w:r>
      <w:r w:rsidR="00E564B2">
        <w:rPr>
          <w:rFonts w:ascii="Times New Roman" w:eastAsia="Times New Roman" w:hAnsi="Times New Roman" w:cs="Times New Roman"/>
          <w:kern w:val="0"/>
          <w:sz w:val="24"/>
          <w:szCs w:val="24"/>
          <w:lang w:val="en-TR"/>
          <w14:ligatures w14:val="none"/>
        </w:rPr>
        <w:t>Yatırım durumunda bağımsız tüzel kişiliğe döner.</w:t>
      </w:r>
    </w:p>
    <w:p w14:paraId="28155FAF" w14:textId="3CB38F91" w:rsid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Bağımsız tüzel kişilik olarak kurulması ise doğrudan yatırım ve globalleşme esnekliği sağlar.</w:t>
      </w:r>
    </w:p>
    <w:p w14:paraId="70939F7B" w14:textId="73972C0C" w:rsidR="00E564B2" w:rsidRDefault="00E564B2" w:rsidP="00E564B2">
      <w:pPr>
        <w:pStyle w:val="NormalWeb"/>
      </w:pPr>
      <w:r>
        <w:t xml:space="preserve">Projenin sonraki aşamaları olan </w:t>
      </w:r>
      <w:r w:rsidRPr="00E564B2">
        <w:rPr>
          <w:b/>
          <w:bCs/>
        </w:rPr>
        <w:t xml:space="preserve">Corteqs </w:t>
      </w:r>
      <w:r w:rsidRPr="00E564B2">
        <w:rPr>
          <w:b/>
          <w:bCs/>
        </w:rPr>
        <w:t>G</w:t>
      </w:r>
      <w:r w:rsidRPr="00E564B2">
        <w:rPr>
          <w:b/>
          <w:bCs/>
        </w:rPr>
        <w:t>lobal</w:t>
      </w:r>
      <w:r>
        <w:t xml:space="preserve"> için </w:t>
      </w:r>
      <w:r>
        <w:t xml:space="preserve">oluşabilecek farklı şartlar nedeniyle </w:t>
      </w:r>
      <w:r>
        <w:t xml:space="preserve">cap table çalışması yapılmamıştır. </w:t>
      </w:r>
    </w:p>
    <w:p w14:paraId="570482EE"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Kurucular ve görev dağılımı:</w:t>
      </w:r>
    </w:p>
    <w:p w14:paraId="631FD3CD" w14:textId="72F9F68F" w:rsidR="0057382E" w:rsidRPr="0057382E" w:rsidRDefault="0057382E" w:rsidP="005738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Burak</w:t>
      </w:r>
      <w:r w:rsidR="00E564B2">
        <w:rPr>
          <w:rFonts w:ascii="Times New Roman" w:eastAsia="Times New Roman" w:hAnsi="Times New Roman" w:cs="Times New Roman"/>
          <w:b/>
          <w:bCs/>
          <w:kern w:val="0"/>
          <w:sz w:val="24"/>
          <w:szCs w:val="24"/>
          <w:lang w:val="en-TR"/>
          <w14:ligatures w14:val="none"/>
        </w:rPr>
        <w:t xml:space="preserve"> Akçakanat</w:t>
      </w:r>
      <w:r w:rsidRPr="0057382E">
        <w:rPr>
          <w:rFonts w:ascii="Times New Roman" w:eastAsia="Times New Roman" w:hAnsi="Times New Roman" w:cs="Times New Roman"/>
          <w:b/>
          <w:bCs/>
          <w:kern w:val="0"/>
          <w:sz w:val="24"/>
          <w:szCs w:val="24"/>
          <w:lang w:val="en-TR"/>
          <w14:ligatures w14:val="none"/>
        </w:rPr>
        <w:t>:</w:t>
      </w:r>
      <w:r w:rsidRPr="0057382E">
        <w:rPr>
          <w:rFonts w:ascii="Times New Roman" w:eastAsia="Times New Roman" w:hAnsi="Times New Roman" w:cs="Times New Roman"/>
          <w:kern w:val="0"/>
          <w:sz w:val="24"/>
          <w:szCs w:val="24"/>
          <w:lang w:val="en-TR"/>
          <w14:ligatures w14:val="none"/>
        </w:rPr>
        <w:t xml:space="preserve"> Kurucu, İş &amp; Strateji, şirketin iş geliştirme, finans ve büyüme sorumlusu.</w:t>
      </w:r>
    </w:p>
    <w:p w14:paraId="570D5C87" w14:textId="2F44E807" w:rsidR="0057382E" w:rsidRPr="0057382E" w:rsidRDefault="00E564B2" w:rsidP="005738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Pr>
          <w:rFonts w:ascii="Times New Roman" w:eastAsia="Times New Roman" w:hAnsi="Times New Roman" w:cs="Times New Roman"/>
          <w:b/>
          <w:bCs/>
          <w:kern w:val="0"/>
          <w:sz w:val="24"/>
          <w:szCs w:val="24"/>
          <w:lang w:val="en-TR"/>
          <w14:ligatures w14:val="none"/>
        </w:rPr>
        <w:t xml:space="preserve">Umut </w:t>
      </w:r>
      <w:r w:rsidR="0057382E" w:rsidRPr="0057382E">
        <w:rPr>
          <w:rFonts w:ascii="Times New Roman" w:eastAsia="Times New Roman" w:hAnsi="Times New Roman" w:cs="Times New Roman"/>
          <w:b/>
          <w:bCs/>
          <w:kern w:val="0"/>
          <w:sz w:val="24"/>
          <w:szCs w:val="24"/>
          <w:lang w:val="en-TR"/>
          <w14:ligatures w14:val="none"/>
        </w:rPr>
        <w:t>Barış Terzioğlu:</w:t>
      </w:r>
      <w:r w:rsidR="0057382E" w:rsidRPr="0057382E">
        <w:rPr>
          <w:rFonts w:ascii="Times New Roman" w:eastAsia="Times New Roman" w:hAnsi="Times New Roman" w:cs="Times New Roman"/>
          <w:kern w:val="0"/>
          <w:sz w:val="24"/>
          <w:szCs w:val="24"/>
          <w:lang w:val="en-TR"/>
          <w14:ligatures w14:val="none"/>
        </w:rPr>
        <w:t xml:space="preserve"> CTO ve stratejik partner, teknolojik liderlik, ürün ve sistem mimarisi, kritik stratejik karar alma yetkisi.</w:t>
      </w:r>
    </w:p>
    <w:p w14:paraId="36A386F4" w14:textId="77777777" w:rsid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SPV yapısı, yatırımcı ilişkileri, ESOP ve Cap Table evrimi ile ilgili detaylar aşağıda açıklanmıştır.</w:t>
      </w:r>
    </w:p>
    <w:p w14:paraId="477D2FAC" w14:textId="77777777" w:rsidR="00E564B2" w:rsidRDefault="00E564B2"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p>
    <w:p w14:paraId="4F772480" w14:textId="77777777" w:rsidR="00E564B2" w:rsidRDefault="00E564B2"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p>
    <w:p w14:paraId="6CE988D4" w14:textId="77777777" w:rsidR="00E564B2" w:rsidRDefault="00E564B2"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p>
    <w:p w14:paraId="0032FEF2" w14:textId="77777777" w:rsidR="00E564B2" w:rsidRDefault="00E564B2"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p>
    <w:p w14:paraId="0FA35C91" w14:textId="77777777" w:rsidR="00E564B2" w:rsidRPr="0057382E" w:rsidRDefault="00E564B2"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p>
    <w:p w14:paraId="2C8F682C" w14:textId="0922D97B" w:rsidR="00E564B2" w:rsidRPr="00E564B2" w:rsidRDefault="0057382E" w:rsidP="00E564B2">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2CC9E12B">
          <v:rect id="_x0000_i1025" alt="" style="width:453.5pt;height:.05pt;mso-width-percent:0;mso-height-percent:0;mso-width-percent:0;mso-height-percent:0" o:hrpct="969" o:hralign="center" o:hrstd="t" o:hr="t" fillcolor="#a0a0a0" stroked="f"/>
        </w:pict>
      </w:r>
    </w:p>
    <w:p w14:paraId="69411976" w14:textId="771CF27C"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lastRenderedPageBreak/>
        <w:t>1. Yapı ve Konumlandırma</w:t>
      </w:r>
    </w:p>
    <w:p w14:paraId="017AB071" w14:textId="77777777" w:rsidR="0057382E" w:rsidRPr="0057382E" w:rsidRDefault="0057382E" w:rsidP="0057382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Şirket: CorteQS TR Teknoloji A.Ş. (SPV)</w:t>
      </w:r>
    </w:p>
    <w:p w14:paraId="5ACF9A18" w14:textId="77777777" w:rsidR="0057382E" w:rsidRPr="0057382E" w:rsidRDefault="0057382E" w:rsidP="0057382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Opsiyon 1: Qualtron Sinclair altında SPV</w:t>
      </w:r>
    </w:p>
    <w:p w14:paraId="695769A7" w14:textId="77777777" w:rsidR="0057382E" w:rsidRPr="0057382E" w:rsidRDefault="0057382E" w:rsidP="0057382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Opsiyon 2: Bağımsız tüzel kişilik (doğrudan CorteQS)</w:t>
      </w:r>
    </w:p>
    <w:p w14:paraId="597D164A"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Karar mantığı:</w:t>
      </w:r>
    </w:p>
    <w:p w14:paraId="2ECD00EE" w14:textId="77777777" w:rsidR="0057382E" w:rsidRPr="0057382E" w:rsidRDefault="0057382E" w:rsidP="0057382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Hız + operasyon kolaylığı → Qualtron altında başla</w:t>
      </w:r>
    </w:p>
    <w:p w14:paraId="09A98175" w14:textId="77777777" w:rsidR="0057382E" w:rsidRPr="0057382E" w:rsidRDefault="0057382E" w:rsidP="0057382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 + globalleşme → Spin-off ile bağımsızlaştır</w:t>
      </w:r>
    </w:p>
    <w:p w14:paraId="46D8148F"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57CFF162">
          <v:rect id="_x0000_i1026" alt="" style="width:453.5pt;height:.05pt;mso-width-percent:0;mso-height-percent:0;mso-width-percent:0;mso-height-percent:0" o:hrpct="969" o:hralign="center" o:hrstd="t" o:hr="t" fillcolor="#a0a0a0" stroked="f"/>
        </w:pict>
      </w:r>
    </w:p>
    <w:p w14:paraId="6A998E7C"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2. Ortaklık Yapısı (Kuruluş Anı)</w:t>
      </w:r>
    </w:p>
    <w:p w14:paraId="1FFC1167" w14:textId="77777777" w:rsidR="0057382E" w:rsidRPr="0057382E" w:rsidRDefault="0057382E" w:rsidP="0057382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Burak: %50 (Kurucu, İş &amp; Strateji)</w:t>
      </w:r>
    </w:p>
    <w:p w14:paraId="2434548B" w14:textId="77777777" w:rsidR="0057382E" w:rsidRPr="0057382E" w:rsidRDefault="0057382E" w:rsidP="0057382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Barış Terzioğlu: %50 (CTO, Teknik &amp; Strateji Partner)</w:t>
      </w:r>
    </w:p>
    <w:p w14:paraId="069C0DD9"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Prensipler:</w:t>
      </w:r>
    </w:p>
    <w:p w14:paraId="2BCBFDE6" w14:textId="77777777" w:rsidR="0057382E" w:rsidRPr="0057382E" w:rsidRDefault="0057382E" w:rsidP="0057382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IP → %50 - %50 ortak mülkiyet</w:t>
      </w:r>
    </w:p>
    <w:p w14:paraId="4BD81FA5" w14:textId="77777777" w:rsidR="0057382E" w:rsidRPr="0057382E" w:rsidRDefault="0057382E" w:rsidP="0057382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Kritik kararlar → mutabakat zorunlu (deadlock mekanizması)</w:t>
      </w:r>
    </w:p>
    <w:p w14:paraId="3D42D488" w14:textId="77777777" w:rsidR="0057382E" w:rsidRPr="0057382E" w:rsidRDefault="0057382E" w:rsidP="0057382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Rol ayrımı:</w:t>
      </w:r>
    </w:p>
    <w:p w14:paraId="47E04C35" w14:textId="77777777" w:rsidR="0057382E" w:rsidRPr="0057382E" w:rsidRDefault="0057382E" w:rsidP="0057382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Burak → iş geliştirme, finans, büyüme</w:t>
      </w:r>
    </w:p>
    <w:p w14:paraId="02D86F30" w14:textId="77777777" w:rsidR="0057382E" w:rsidRPr="0057382E" w:rsidRDefault="0057382E" w:rsidP="0057382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Barış → teknoloji, ürün, sistem mimarisi ve stratejik kararlar</w:t>
      </w:r>
    </w:p>
    <w:p w14:paraId="442E476C"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5F6C1BDF">
          <v:rect id="_x0000_i1027" alt="" style="width:453.5pt;height:.05pt;mso-width-percent:0;mso-height-percent:0;mso-width-percent:0;mso-height-percent:0" o:hrpct="969" o:hralign="center" o:hrstd="t" o:hr="t" fillcolor="#a0a0a0" stroked="f"/>
        </w:pict>
      </w:r>
    </w:p>
    <w:p w14:paraId="3E76E2E9"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3. IP &amp; Varlık Yapısı</w:t>
      </w:r>
    </w:p>
    <w:p w14:paraId="71EBEBF8" w14:textId="77777777" w:rsidR="0057382E" w:rsidRPr="0057382E" w:rsidRDefault="0057382E" w:rsidP="0057382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Tüm teknoloji CorteQS TR SPV’ye ait</w:t>
      </w:r>
    </w:p>
    <w:p w14:paraId="02C87572" w14:textId="77777777" w:rsidR="0057382E" w:rsidRPr="0057382E" w:rsidRDefault="0057382E" w:rsidP="0057382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Ortaklar bireysel IP tutamaz</w:t>
      </w:r>
    </w:p>
    <w:p w14:paraId="5F4E3CB3" w14:textId="77777777" w:rsidR="0057382E" w:rsidRPr="0057382E" w:rsidRDefault="0057382E" w:rsidP="0057382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Önceden geliştirilen bileşenler sözleşme ile şirkete devredilir</w:t>
      </w:r>
    </w:p>
    <w:p w14:paraId="577B9843"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5176254F">
          <v:rect id="_x0000_i1028" alt="" style="width:453.5pt;height:.05pt;mso-width-percent:0;mso-height-percent:0;mso-width-percent:0;mso-height-percent:0" o:hrpct="969" o:hralign="center" o:hrstd="t" o:hr="t" fillcolor="#a0a0a0" stroked="f"/>
        </w:pict>
      </w:r>
    </w:p>
    <w:p w14:paraId="3B8D2F23"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4. Qualtron Sinclair Altında Olma Senaryosu</w:t>
      </w:r>
    </w:p>
    <w:p w14:paraId="325621AA" w14:textId="77777777" w:rsidR="0057382E" w:rsidRPr="0057382E" w:rsidRDefault="0057382E" w:rsidP="0057382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CorteQS TR → ayrı tüzel SPV</w:t>
      </w:r>
    </w:p>
    <w:p w14:paraId="2D564955" w14:textId="77777777" w:rsidR="0057382E" w:rsidRPr="0057382E" w:rsidRDefault="0057382E" w:rsidP="0057382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Qualtron Sinclair → holding/service layer</w:t>
      </w:r>
    </w:p>
    <w:p w14:paraId="6247FBCC"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Avantajlar:</w:t>
      </w:r>
    </w:p>
    <w:p w14:paraId="7E93AA9B" w14:textId="77777777" w:rsidR="0057382E" w:rsidRPr="0057382E" w:rsidRDefault="0057382E" w:rsidP="0057382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lastRenderedPageBreak/>
        <w:t>Yıllık service &amp; accounting fee ile desteklenen shared services</w:t>
      </w:r>
    </w:p>
    <w:p w14:paraId="0204F2ED" w14:textId="77777777" w:rsidR="0057382E" w:rsidRPr="0057382E" w:rsidRDefault="0057382E" w:rsidP="0057382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Düşük operasyonel yük</w:t>
      </w:r>
    </w:p>
    <w:p w14:paraId="12E80FE5" w14:textId="77777777" w:rsidR="0057382E" w:rsidRPr="0057382E" w:rsidRDefault="0057382E" w:rsidP="0057382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 sonrası spin-off imkanı</w:t>
      </w:r>
    </w:p>
    <w:p w14:paraId="6BB67498"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3C8225BC">
          <v:rect id="_x0000_i1029" alt="" style="width:453.5pt;height:.05pt;mso-width-percent:0;mso-height-percent:0;mso-width-percent:0;mso-height-percent:0" o:hrpct="969" o:hralign="center" o:hrstd="t" o:hr="t" fillcolor="#a0a0a0" stroked="f"/>
        </w:pict>
      </w:r>
    </w:p>
    <w:p w14:paraId="51A3E919"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5. Cap Table Evrimi (ESOP %15 ve Dilution Revize)</w:t>
      </w:r>
    </w:p>
    <w:p w14:paraId="183243EB"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Aşama 0 (Kuruluş):</w:t>
      </w:r>
    </w:p>
    <w:p w14:paraId="5B644E0F" w14:textId="77777777" w:rsidR="0057382E" w:rsidRPr="0057382E" w:rsidRDefault="0057382E" w:rsidP="0057382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Burak: %50</w:t>
      </w:r>
    </w:p>
    <w:p w14:paraId="32137E6D" w14:textId="77777777" w:rsidR="0057382E" w:rsidRPr="0057382E" w:rsidRDefault="0057382E" w:rsidP="0057382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Barış: %50</w:t>
      </w:r>
    </w:p>
    <w:p w14:paraId="30E5E16F"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Aşama 1 (Pre-Seed, Yatırımcı 1 %10 + ESOP %15 vesting ile devreye girer):</w:t>
      </w:r>
    </w:p>
    <w:p w14:paraId="7E061DE3" w14:textId="77777777" w:rsidR="0057382E" w:rsidRPr="0057382E" w:rsidRDefault="0057382E" w:rsidP="0057382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Burak: %42,5</w:t>
      </w:r>
    </w:p>
    <w:p w14:paraId="4BB58101" w14:textId="77777777" w:rsidR="0057382E" w:rsidRPr="0057382E" w:rsidRDefault="0057382E" w:rsidP="0057382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Barış: %42,5</w:t>
      </w:r>
    </w:p>
    <w:p w14:paraId="0D22E0CD" w14:textId="77777777" w:rsidR="0057382E" w:rsidRPr="0057382E" w:rsidRDefault="0057382E" w:rsidP="0057382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Yatırımcı 1: %10</w:t>
      </w:r>
    </w:p>
    <w:p w14:paraId="0E16DF5C" w14:textId="77777777" w:rsidR="0057382E" w:rsidRPr="0057382E" w:rsidRDefault="0057382E" w:rsidP="0057382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ESOP: %5 (vesting, dilution’a tabidir)</w:t>
      </w:r>
    </w:p>
    <w:p w14:paraId="1E837975"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Aşama 2 (Seed, Yatırımcı 2 %10):</w:t>
      </w:r>
    </w:p>
    <w:p w14:paraId="34D73759" w14:textId="77777777" w:rsidR="0057382E" w:rsidRPr="0057382E" w:rsidRDefault="0057382E" w:rsidP="0057382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Burak: %37,125</w:t>
      </w:r>
    </w:p>
    <w:p w14:paraId="3F7333DD" w14:textId="77777777" w:rsidR="0057382E" w:rsidRPr="0057382E" w:rsidRDefault="0057382E" w:rsidP="0057382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Barış: %37,125</w:t>
      </w:r>
    </w:p>
    <w:p w14:paraId="419979A8" w14:textId="77777777" w:rsidR="0057382E" w:rsidRPr="0057382E" w:rsidRDefault="0057382E" w:rsidP="0057382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Yatırımcı 1: %8,75</w:t>
      </w:r>
    </w:p>
    <w:p w14:paraId="37DCE9BD" w14:textId="77777777" w:rsidR="0057382E" w:rsidRPr="0057382E" w:rsidRDefault="0057382E" w:rsidP="0057382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Yatırımcı 2: %10</w:t>
      </w:r>
    </w:p>
    <w:p w14:paraId="30FFCAFB" w14:textId="77777777" w:rsidR="0057382E" w:rsidRPr="0057382E" w:rsidRDefault="0057382E" w:rsidP="0057382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ESOP: %7 (vesting ve dilution’a tabidir)</w:t>
      </w:r>
    </w:p>
    <w:p w14:paraId="601AD86C"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Aşama 3 (Series A, Yatırımcı 3 %10):</w:t>
      </w:r>
    </w:p>
    <w:p w14:paraId="00ED8DE4" w14:textId="77777777" w:rsidR="0057382E" w:rsidRPr="0057382E" w:rsidRDefault="0057382E" w:rsidP="0057382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Burak: %33,456</w:t>
      </w:r>
    </w:p>
    <w:p w14:paraId="34691176" w14:textId="77777777" w:rsidR="0057382E" w:rsidRPr="0057382E" w:rsidRDefault="0057382E" w:rsidP="0057382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Barış: %33,456</w:t>
      </w:r>
    </w:p>
    <w:p w14:paraId="3DCFA719" w14:textId="77777777" w:rsidR="0057382E" w:rsidRPr="0057382E" w:rsidRDefault="0057382E" w:rsidP="0057382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Yatırımcı 1: %7,875</w:t>
      </w:r>
    </w:p>
    <w:p w14:paraId="624A3725" w14:textId="77777777" w:rsidR="0057382E" w:rsidRPr="0057382E" w:rsidRDefault="0057382E" w:rsidP="0057382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Yatırımcı 2: %9</w:t>
      </w:r>
    </w:p>
    <w:p w14:paraId="54326C7E" w14:textId="77777777" w:rsidR="0057382E" w:rsidRPr="0057382E" w:rsidRDefault="0057382E" w:rsidP="0057382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Yatırımcı 3: %10</w:t>
      </w:r>
    </w:p>
    <w:p w14:paraId="2D7906C0" w14:textId="77777777" w:rsidR="0057382E" w:rsidRPr="0057382E" w:rsidRDefault="0057382E" w:rsidP="0057382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ESOP: %6,213 (tam hak edilmiş, dilution’a tabidir)</w:t>
      </w:r>
    </w:p>
    <w:p w14:paraId="1704B996" w14:textId="77777777" w:rsidR="0057382E" w:rsidRPr="0057382E" w:rsidRDefault="0057382E" w:rsidP="0057382E">
      <w:p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i/>
          <w:iCs/>
          <w:kern w:val="0"/>
          <w:sz w:val="24"/>
          <w:szCs w:val="24"/>
          <w:lang w:val="en-TR"/>
          <w14:ligatures w14:val="none"/>
        </w:rPr>
        <w:t>Not: ESOP vesting aşamasında bile yatırım turları ile dilution’a tabidir ve Cap Table her turda %100 içinde yeniden dengelenir.</w:t>
      </w:r>
    </w:p>
    <w:p w14:paraId="2B506E0F"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67EE758F">
          <v:rect id="_x0000_i1030" alt="" style="width:453.5pt;height:.05pt;mso-width-percent:0;mso-height-percent:0;mso-width-percent:0;mso-height-percent:0" o:hrpct="969" o:hralign="center" o:hrstd="t" o:hr="t" fillcolor="#a0a0a0" stroked="f"/>
        </w:pict>
      </w:r>
    </w:p>
    <w:p w14:paraId="62DFE77A" w14:textId="77777777" w:rsidR="00E564B2" w:rsidRDefault="00E564B2"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p>
    <w:p w14:paraId="479B02A0" w14:textId="18FDFD02"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lastRenderedPageBreak/>
        <w:t>6. Yatırım Stratejisi</w:t>
      </w:r>
    </w:p>
    <w:p w14:paraId="20C0916A" w14:textId="77777777" w:rsidR="0057382E" w:rsidRPr="0057382E" w:rsidRDefault="0057382E" w:rsidP="0057382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Smart money odaklı</w:t>
      </w:r>
    </w:p>
    <w:p w14:paraId="16974875" w14:textId="77777777" w:rsidR="0057382E" w:rsidRPr="0057382E" w:rsidRDefault="0057382E" w:rsidP="0057382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Avrupa, Körfez (Dubai, Doha) öncelikli</w:t>
      </w:r>
    </w:p>
    <w:p w14:paraId="44C365C7" w14:textId="77777777" w:rsidR="0057382E" w:rsidRPr="0057382E" w:rsidRDefault="0057382E" w:rsidP="0057382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Kurumsal iş birlikleri ve dağıtım avantajı olan yatırımcılar</w:t>
      </w:r>
    </w:p>
    <w:p w14:paraId="172462C1"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4220EE1A">
          <v:rect id="_x0000_i1031" alt="" style="width:453.5pt;height:.05pt;mso-width-percent:0;mso-height-percent:0;mso-width-percent:0;mso-height-percent:0" o:hrpct="969" o:hralign="center" o:hrstd="t" o:hr="t" fillcolor="#a0a0a0" stroked="f"/>
        </w:pict>
      </w:r>
    </w:p>
    <w:p w14:paraId="69ED4952"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7. Dilution Mantığı</w:t>
      </w:r>
    </w:p>
    <w:p w14:paraId="4F22CC5E" w14:textId="77777777" w:rsidR="0057382E" w:rsidRPr="0057382E" w:rsidRDefault="0057382E" w:rsidP="0057382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Her turda %15–25 normal</w:t>
      </w:r>
    </w:p>
    <w:p w14:paraId="05071C7A" w14:textId="77777777" w:rsidR="0057382E" w:rsidRPr="0057382E" w:rsidRDefault="0057382E" w:rsidP="0057382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Kurucu payının düşmesi = değer artışı ile dengelenir</w:t>
      </w:r>
    </w:p>
    <w:p w14:paraId="7CDC1E20" w14:textId="77777777" w:rsidR="0057382E" w:rsidRPr="0057382E" w:rsidRDefault="0057382E" w:rsidP="0057382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Kontrol ve yönetim hakları kritik</w:t>
      </w:r>
    </w:p>
    <w:p w14:paraId="237CBF77"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045B3EA8">
          <v:rect id="_x0000_i1032" alt="" style="width:453.5pt;height:.05pt;mso-width-percent:0;mso-height-percent:0;mso-width-percent:0;mso-height-percent:0" o:hrpct="969" o:hralign="center" o:hrstd="t" o:hr="t" fillcolor="#a0a0a0" stroked="f"/>
        </w:pict>
      </w:r>
    </w:p>
    <w:p w14:paraId="03CA0C3B"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8. Scaling Planı</w:t>
      </w:r>
    </w:p>
    <w:p w14:paraId="7943D84C" w14:textId="77777777" w:rsidR="0057382E" w:rsidRPr="0057382E" w:rsidRDefault="0057382E" w:rsidP="0057382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Faz 1: MVP, İlk müşteri (0–6 ay)</w:t>
      </w:r>
    </w:p>
    <w:p w14:paraId="3ACDC389" w14:textId="77777777" w:rsidR="0057382E" w:rsidRPr="0057382E" w:rsidRDefault="0057382E" w:rsidP="0057382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Faz 2: Product-market fit, Gelir üretimi (6–18 ay)</w:t>
      </w:r>
    </w:p>
    <w:p w14:paraId="02D33637" w14:textId="77777777" w:rsidR="0057382E" w:rsidRPr="0057382E" w:rsidRDefault="0057382E" w:rsidP="0057382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Faz 3: Platformlaşma, Global açılım (18+ ay)</w:t>
      </w:r>
    </w:p>
    <w:p w14:paraId="7BD38E7B"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3B7F5307">
          <v:rect id="_x0000_i1033" alt="" style="width:453.5pt;height:.05pt;mso-width-percent:0;mso-height-percent:0;mso-width-percent:0;mso-height-percent:0" o:hrpct="969" o:hralign="center" o:hrstd="t" o:hr="t" fillcolor="#a0a0a0" stroked="f"/>
        </w:pict>
      </w:r>
    </w:p>
    <w:p w14:paraId="7E0DEEDB"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9. Global SPV (CorteQS Global)</w:t>
      </w:r>
    </w:p>
    <w:p w14:paraId="77914729" w14:textId="77777777" w:rsidR="0057382E" w:rsidRPr="0057382E" w:rsidRDefault="0057382E" w:rsidP="0057382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Henüz net değil</w:t>
      </w:r>
    </w:p>
    <w:p w14:paraId="1B63D6A0" w14:textId="77777777" w:rsidR="0057382E" w:rsidRPr="0057382E" w:rsidRDefault="0057382E" w:rsidP="0057382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TR → core tech hub</w:t>
      </w:r>
    </w:p>
    <w:p w14:paraId="602D6CCC" w14:textId="77777777" w:rsidR="0057382E" w:rsidRPr="0057382E" w:rsidRDefault="0057382E" w:rsidP="0057382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kern w:val="0"/>
          <w:sz w:val="24"/>
          <w:szCs w:val="24"/>
          <w:lang w:val="en-TR"/>
          <w14:ligatures w14:val="none"/>
        </w:rPr>
        <w:t>Global yapı → farklı ortaklık modelleri</w:t>
      </w:r>
    </w:p>
    <w:p w14:paraId="49B3C28C" w14:textId="77777777" w:rsidR="0057382E" w:rsidRPr="0057382E" w:rsidRDefault="0057382E" w:rsidP="0057382E">
      <w:pPr>
        <w:spacing w:after="0"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noProof/>
          <w:kern w:val="0"/>
          <w:sz w:val="24"/>
          <w:szCs w:val="24"/>
          <w:lang w:val="en-TR"/>
          <w14:ligatures w14:val="none"/>
        </w:rPr>
      </w:r>
      <w:r w:rsidR="0057382E" w:rsidRPr="0057382E">
        <w:rPr>
          <w:rFonts w:ascii="Times New Roman" w:eastAsia="Times New Roman" w:hAnsi="Times New Roman" w:cs="Times New Roman"/>
          <w:noProof/>
          <w:kern w:val="0"/>
          <w:sz w:val="24"/>
          <w:szCs w:val="24"/>
          <w:lang w:val="en-TR"/>
          <w14:ligatures w14:val="none"/>
        </w:rPr>
        <w:pict w14:anchorId="1EA0FC87">
          <v:rect id="_x0000_i1034" alt="" style="width:453.5pt;height:.05pt;mso-width-percent:0;mso-height-percent:0;mso-width-percent:0;mso-height-percent:0" o:hrpct="969" o:hralign="center" o:hrstd="t" o:hr="t" fillcolor="#a0a0a0" stroked="f"/>
        </w:pict>
      </w:r>
    </w:p>
    <w:p w14:paraId="103B590B" w14:textId="77777777" w:rsidR="0057382E" w:rsidRPr="0057382E" w:rsidRDefault="0057382E" w:rsidP="0057382E">
      <w:pPr>
        <w:spacing w:before="100" w:beforeAutospacing="1" w:after="100" w:afterAutospacing="1" w:line="240" w:lineRule="auto"/>
        <w:outlineLvl w:val="1"/>
        <w:rPr>
          <w:rFonts w:ascii="Times New Roman" w:eastAsia="Times New Roman" w:hAnsi="Times New Roman" w:cs="Times New Roman"/>
          <w:b/>
          <w:bCs/>
          <w:kern w:val="0"/>
          <w:sz w:val="36"/>
          <w:szCs w:val="36"/>
          <w:lang w:val="en-TR"/>
          <w14:ligatures w14:val="none"/>
        </w:rPr>
      </w:pPr>
      <w:r w:rsidRPr="0057382E">
        <w:rPr>
          <w:rFonts w:ascii="Times New Roman" w:eastAsia="Times New Roman" w:hAnsi="Times New Roman" w:cs="Times New Roman"/>
          <w:b/>
          <w:bCs/>
          <w:kern w:val="0"/>
          <w:sz w:val="36"/>
          <w:szCs w:val="36"/>
          <w:lang w:val="en-TR"/>
          <w14:ligatures w14:val="none"/>
        </w:rPr>
        <w:t>10. Kritik Hukuki Maddeler</w:t>
      </w:r>
    </w:p>
    <w:p w14:paraId="4FD3A8DA" w14:textId="77777777" w:rsidR="0057382E" w:rsidRPr="0057382E" w:rsidRDefault="0057382E" w:rsidP="0057382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Founder Exit Clause:</w:t>
      </w:r>
      <w:r w:rsidRPr="0057382E">
        <w:rPr>
          <w:rFonts w:ascii="Times New Roman" w:eastAsia="Times New Roman" w:hAnsi="Times New Roman" w:cs="Times New Roman"/>
          <w:kern w:val="0"/>
          <w:sz w:val="24"/>
          <w:szCs w:val="24"/>
          <w:lang w:val="en-TR"/>
          <w14:ligatures w14:val="none"/>
        </w:rPr>
        <w:t xml:space="preserve"> Kurucu ayrılmak isterse hisselerini öncelikle diğer ortağa teklif etmeli (Right of First Refusal). Hisseler ya passive shareholder olarak şirkette kalır ya da önceden belirlenen fiyatla alınır. IP şirkette kalır.</w:t>
      </w:r>
    </w:p>
    <w:p w14:paraId="06019355" w14:textId="77777777" w:rsidR="0057382E" w:rsidRPr="0057382E" w:rsidRDefault="0057382E" w:rsidP="0057382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IP Assignment:</w:t>
      </w:r>
      <w:r w:rsidRPr="0057382E">
        <w:rPr>
          <w:rFonts w:ascii="Times New Roman" w:eastAsia="Times New Roman" w:hAnsi="Times New Roman" w:cs="Times New Roman"/>
          <w:kern w:val="0"/>
          <w:sz w:val="24"/>
          <w:szCs w:val="24"/>
          <w:lang w:val="en-TR"/>
          <w14:ligatures w14:val="none"/>
        </w:rPr>
        <w:t xml:space="preserve"> Tüm fikri mülkiyet şirketin malı olur.</w:t>
      </w:r>
    </w:p>
    <w:p w14:paraId="057DD915" w14:textId="77777777" w:rsidR="0057382E" w:rsidRPr="0057382E" w:rsidRDefault="0057382E" w:rsidP="0057382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Non-compete / Non-solicit:</w:t>
      </w:r>
      <w:r w:rsidRPr="0057382E">
        <w:rPr>
          <w:rFonts w:ascii="Times New Roman" w:eastAsia="Times New Roman" w:hAnsi="Times New Roman" w:cs="Times New Roman"/>
          <w:kern w:val="0"/>
          <w:sz w:val="24"/>
          <w:szCs w:val="24"/>
          <w:lang w:val="en-TR"/>
          <w14:ligatures w14:val="none"/>
        </w:rPr>
        <w:t xml:space="preserve"> Ayrılan kurucu, belirli süre ve coğrafyada rakip iş yapamaz.</w:t>
      </w:r>
    </w:p>
    <w:p w14:paraId="47FDACC1" w14:textId="77777777" w:rsidR="0057382E" w:rsidRPr="0057382E" w:rsidRDefault="0057382E" w:rsidP="0057382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Tag-Along:</w:t>
      </w:r>
      <w:r w:rsidRPr="0057382E">
        <w:rPr>
          <w:rFonts w:ascii="Times New Roman" w:eastAsia="Times New Roman" w:hAnsi="Times New Roman" w:cs="Times New Roman"/>
          <w:kern w:val="0"/>
          <w:sz w:val="24"/>
          <w:szCs w:val="24"/>
          <w:lang w:val="en-TR"/>
          <w14:ligatures w14:val="none"/>
        </w:rPr>
        <w:t xml:space="preserve"> Küçük ortak, büyük hissedarın satışı durumunda eşit şartlarda katılabilir.</w:t>
      </w:r>
    </w:p>
    <w:p w14:paraId="69D955CE" w14:textId="77777777" w:rsidR="0057382E" w:rsidRPr="0057382E" w:rsidRDefault="0057382E" w:rsidP="0057382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t>Deadlock Resolution:</w:t>
      </w:r>
      <w:r w:rsidRPr="0057382E">
        <w:rPr>
          <w:rFonts w:ascii="Times New Roman" w:eastAsia="Times New Roman" w:hAnsi="Times New Roman" w:cs="Times New Roman"/>
          <w:kern w:val="0"/>
          <w:sz w:val="24"/>
          <w:szCs w:val="24"/>
          <w:lang w:val="en-TR"/>
          <w14:ligatures w14:val="none"/>
        </w:rPr>
        <w:t xml:space="preserve"> 50-50 ortaklıklarda veto + arabulucu + Shotgun Clause.</w:t>
      </w:r>
    </w:p>
    <w:p w14:paraId="51BDBD0A" w14:textId="77777777" w:rsidR="0057382E" w:rsidRPr="0057382E" w:rsidRDefault="0057382E" w:rsidP="0057382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TR"/>
          <w14:ligatures w14:val="none"/>
        </w:rPr>
      </w:pPr>
      <w:r w:rsidRPr="0057382E">
        <w:rPr>
          <w:rFonts w:ascii="Times New Roman" w:eastAsia="Times New Roman" w:hAnsi="Times New Roman" w:cs="Times New Roman"/>
          <w:b/>
          <w:bCs/>
          <w:kern w:val="0"/>
          <w:sz w:val="24"/>
          <w:szCs w:val="24"/>
          <w:lang w:val="en-TR"/>
          <w14:ligatures w14:val="none"/>
        </w:rPr>
        <w:lastRenderedPageBreak/>
        <w:t>Vesting:</w:t>
      </w:r>
      <w:r w:rsidRPr="0057382E">
        <w:rPr>
          <w:rFonts w:ascii="Times New Roman" w:eastAsia="Times New Roman" w:hAnsi="Times New Roman" w:cs="Times New Roman"/>
          <w:kern w:val="0"/>
          <w:sz w:val="24"/>
          <w:szCs w:val="24"/>
          <w:lang w:val="en-TR"/>
          <w14:ligatures w14:val="none"/>
        </w:rPr>
        <w:t xml:space="preserve"> Kurucular için uygulanmaz; ESOP vesting ile aşama 1'de devreye girer ve dilution’a tabidir.</w:t>
      </w:r>
    </w:p>
    <w:p w14:paraId="05C553C5" w14:textId="77777777" w:rsidR="00063CDB" w:rsidRPr="004D0D5B" w:rsidRDefault="00063CDB" w:rsidP="004D0D5B"/>
    <w:sectPr w:rsidR="00063CDB" w:rsidRPr="004D0D5B">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BAE0" w14:textId="77777777" w:rsidR="00A44796" w:rsidRDefault="00A44796" w:rsidP="0046313A">
      <w:pPr>
        <w:spacing w:after="0" w:line="240" w:lineRule="auto"/>
      </w:pPr>
      <w:r>
        <w:separator/>
      </w:r>
    </w:p>
  </w:endnote>
  <w:endnote w:type="continuationSeparator" w:id="0">
    <w:p w14:paraId="3DB6DC9B" w14:textId="77777777" w:rsidR="00A44796" w:rsidRDefault="00A44796" w:rsidP="00463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2451" w14:textId="77777777" w:rsidR="00B40584" w:rsidRDefault="00B40584">
    <w:pPr>
      <w:pStyle w:val="Footer"/>
    </w:pPr>
  </w:p>
  <w:p w14:paraId="15A432D6" w14:textId="77777777" w:rsidR="00B40584" w:rsidRPr="00B40584" w:rsidRDefault="00B40584" w:rsidP="00B40584">
    <w:pPr>
      <w:pStyle w:val="Footer"/>
      <w:jc w:val="center"/>
      <w:rPr>
        <w:lang w:val="tr-TR"/>
      </w:rPr>
    </w:pPr>
    <w:r w:rsidRPr="00B40584">
      <w:rPr>
        <w:lang w:val="tr-TR"/>
      </w:rPr>
      <w:t>Reef Tower, No</w:t>
    </w:r>
    <w:r>
      <w:rPr>
        <w:lang w:val="tr-TR"/>
      </w:rPr>
      <w:t>:</w:t>
    </w:r>
    <w:r w:rsidRPr="00B40584">
      <w:rPr>
        <w:lang w:val="tr-TR"/>
      </w:rPr>
      <w:t>30-33</w:t>
    </w:r>
  </w:p>
  <w:p w14:paraId="573EF583" w14:textId="77777777" w:rsidR="00B40584" w:rsidRPr="00B40584" w:rsidRDefault="00B40584" w:rsidP="00B40584">
    <w:pPr>
      <w:pStyle w:val="Footer"/>
      <w:jc w:val="center"/>
      <w:rPr>
        <w:lang w:val="tr-TR"/>
      </w:rPr>
    </w:pPr>
    <w:r w:rsidRPr="00B40584">
      <w:rPr>
        <w:lang w:val="tr-TR"/>
      </w:rPr>
      <w:t xml:space="preserve">O1 Cluster, O </w:t>
    </w:r>
    <w:r>
      <w:rPr>
        <w:lang w:val="tr-TR"/>
      </w:rPr>
      <w:t>S</w:t>
    </w:r>
    <w:r w:rsidRPr="00B40584">
      <w:rPr>
        <w:lang w:val="tr-TR"/>
      </w:rPr>
      <w:t>treet, JLT, Dubai, UAE</w:t>
    </w:r>
  </w:p>
  <w:p w14:paraId="255D7E27" w14:textId="77777777" w:rsidR="00B40584" w:rsidRDefault="00B40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05C0" w14:textId="77777777" w:rsidR="00A44796" w:rsidRDefault="00A44796" w:rsidP="0046313A">
      <w:pPr>
        <w:spacing w:after="0" w:line="240" w:lineRule="auto"/>
      </w:pPr>
      <w:r>
        <w:separator/>
      </w:r>
    </w:p>
  </w:footnote>
  <w:footnote w:type="continuationSeparator" w:id="0">
    <w:p w14:paraId="1332C632" w14:textId="77777777" w:rsidR="00A44796" w:rsidRDefault="00A44796" w:rsidP="00463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182E" w14:textId="77777777" w:rsidR="00B40584" w:rsidRDefault="00B40584" w:rsidP="0046313A">
    <w:pPr>
      <w:spacing w:after="0"/>
      <w:rPr>
        <w:rFonts w:ascii="Times New Roman" w:hAnsi="Times New Roman" w:cs="Times New Roman"/>
        <w:b/>
        <w:bCs/>
        <w:color w:val="0E2841" w:themeColor="text2"/>
        <w:sz w:val="28"/>
        <w:szCs w:val="28"/>
        <w:lang w:val="tr-TR"/>
      </w:rPr>
    </w:pPr>
    <w:r>
      <w:rPr>
        <w:noProof/>
      </w:rPr>
      <w:drawing>
        <wp:inline distT="0" distB="0" distL="0" distR="0" wp14:anchorId="1CBBCE6A" wp14:editId="6BEA7FFD">
          <wp:extent cx="525204" cy="525204"/>
          <wp:effectExtent l="0" t="0" r="8255" b="8255"/>
          <wp:docPr id="631360709"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60709" name="Picture 2">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7372" cy="527372"/>
                  </a:xfrm>
                  <a:prstGeom prst="rect">
                    <a:avLst/>
                  </a:prstGeom>
                  <a:noFill/>
                  <a:ln>
                    <a:noFill/>
                  </a:ln>
                </pic:spPr>
              </pic:pic>
            </a:graphicData>
          </a:graphic>
        </wp:inline>
      </w:drawing>
    </w:r>
  </w:p>
  <w:p w14:paraId="62137B1E" w14:textId="77777777" w:rsidR="0046313A" w:rsidRPr="00B40584" w:rsidRDefault="0046313A" w:rsidP="0046313A">
    <w:pPr>
      <w:spacing w:after="0"/>
      <w:rPr>
        <w:rFonts w:ascii="Times New Roman" w:hAnsi="Times New Roman" w:cs="Times New Roman"/>
        <w:b/>
        <w:bCs/>
        <w:color w:val="0E2841" w:themeColor="text2"/>
        <w:sz w:val="24"/>
        <w:szCs w:val="24"/>
        <w:lang w:val="tr-TR"/>
      </w:rPr>
    </w:pPr>
    <w:r w:rsidRPr="00B40584">
      <w:rPr>
        <w:rFonts w:ascii="Times New Roman" w:hAnsi="Times New Roman" w:cs="Times New Roman"/>
        <w:b/>
        <w:bCs/>
        <w:color w:val="0E2841" w:themeColor="text2"/>
        <w:sz w:val="24"/>
        <w:szCs w:val="24"/>
        <w:lang w:val="tr-TR"/>
      </w:rPr>
      <w:t>QUALTRON SINCLAIR</w:t>
    </w:r>
  </w:p>
  <w:p w14:paraId="20672902" w14:textId="77777777" w:rsidR="0046313A" w:rsidRPr="0046313A" w:rsidRDefault="00AE1B61" w:rsidP="0046313A">
    <w:pPr>
      <w:spacing w:after="0"/>
      <w:rPr>
        <w:rFonts w:ascii="Times New Roman" w:hAnsi="Times New Roman" w:cs="Times New Roman"/>
        <w:bCs/>
        <w:color w:val="000000" w:themeColor="text1"/>
        <w:sz w:val="56"/>
        <w:szCs w:val="5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lang w:val="tr-TR"/>
      </w:rPr>
    </w:r>
    <w:r w:rsidR="00AE1B61">
      <w:rPr>
        <w:noProof/>
        <w:lang w:val="tr-TR"/>
      </w:rPr>
      <w:pict w14:anchorId="1E3CF1B1">
        <v:rect id="_x0000_i1025" alt="" style="width:439.45pt;height:.05pt;mso-width-percent:0;mso-height-percent:0;mso-width-percent:0;mso-height-percent:0" o:hrpct="939" o:hralign="center" o:hrstd="t" o:hr="t" fillcolor="#a0a0a0" stroked="f"/>
      </w:pict>
    </w:r>
  </w:p>
  <w:p w14:paraId="309CF5EA" w14:textId="77777777" w:rsidR="0046313A" w:rsidRDefault="00463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75A"/>
    <w:multiLevelType w:val="multilevel"/>
    <w:tmpl w:val="A14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081C"/>
    <w:multiLevelType w:val="multilevel"/>
    <w:tmpl w:val="9ED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04D4"/>
    <w:multiLevelType w:val="multilevel"/>
    <w:tmpl w:val="E02C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946"/>
    <w:multiLevelType w:val="multilevel"/>
    <w:tmpl w:val="E5C8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F443A"/>
    <w:multiLevelType w:val="multilevel"/>
    <w:tmpl w:val="3266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05FB7"/>
    <w:multiLevelType w:val="multilevel"/>
    <w:tmpl w:val="5B8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5780F"/>
    <w:multiLevelType w:val="multilevel"/>
    <w:tmpl w:val="3AD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96954"/>
    <w:multiLevelType w:val="multilevel"/>
    <w:tmpl w:val="F9A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2479"/>
    <w:multiLevelType w:val="multilevel"/>
    <w:tmpl w:val="E85A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F374E"/>
    <w:multiLevelType w:val="multilevel"/>
    <w:tmpl w:val="B41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41266"/>
    <w:multiLevelType w:val="multilevel"/>
    <w:tmpl w:val="11C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E5DF0"/>
    <w:multiLevelType w:val="multilevel"/>
    <w:tmpl w:val="255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90335"/>
    <w:multiLevelType w:val="multilevel"/>
    <w:tmpl w:val="8C4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E2091"/>
    <w:multiLevelType w:val="multilevel"/>
    <w:tmpl w:val="4BA0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81E9F"/>
    <w:multiLevelType w:val="multilevel"/>
    <w:tmpl w:val="D3E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55F9F"/>
    <w:multiLevelType w:val="multilevel"/>
    <w:tmpl w:val="3764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46AD6"/>
    <w:multiLevelType w:val="multilevel"/>
    <w:tmpl w:val="D35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F7814"/>
    <w:multiLevelType w:val="multilevel"/>
    <w:tmpl w:val="D9C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D0C54"/>
    <w:multiLevelType w:val="multilevel"/>
    <w:tmpl w:val="356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37A66"/>
    <w:multiLevelType w:val="multilevel"/>
    <w:tmpl w:val="FB3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D2720"/>
    <w:multiLevelType w:val="multilevel"/>
    <w:tmpl w:val="824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C56B2"/>
    <w:multiLevelType w:val="multilevel"/>
    <w:tmpl w:val="5D3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D0D3B"/>
    <w:multiLevelType w:val="multilevel"/>
    <w:tmpl w:val="60B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7536D"/>
    <w:multiLevelType w:val="multilevel"/>
    <w:tmpl w:val="AD9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5087F"/>
    <w:multiLevelType w:val="multilevel"/>
    <w:tmpl w:val="308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D67E9"/>
    <w:multiLevelType w:val="multilevel"/>
    <w:tmpl w:val="623E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40966"/>
    <w:multiLevelType w:val="multilevel"/>
    <w:tmpl w:val="A43A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C0A32"/>
    <w:multiLevelType w:val="multilevel"/>
    <w:tmpl w:val="90E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357EC"/>
    <w:multiLevelType w:val="multilevel"/>
    <w:tmpl w:val="713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7526">
    <w:abstractNumId w:val="8"/>
  </w:num>
  <w:num w:numId="2" w16cid:durableId="2021882110">
    <w:abstractNumId w:val="5"/>
  </w:num>
  <w:num w:numId="3" w16cid:durableId="1571573367">
    <w:abstractNumId w:val="27"/>
  </w:num>
  <w:num w:numId="4" w16cid:durableId="2120829695">
    <w:abstractNumId w:val="21"/>
  </w:num>
  <w:num w:numId="5" w16cid:durableId="246809440">
    <w:abstractNumId w:val="22"/>
  </w:num>
  <w:num w:numId="6" w16cid:durableId="1610351030">
    <w:abstractNumId w:val="14"/>
  </w:num>
  <w:num w:numId="7" w16cid:durableId="482235458">
    <w:abstractNumId w:val="4"/>
  </w:num>
  <w:num w:numId="8" w16cid:durableId="265158878">
    <w:abstractNumId w:val="7"/>
  </w:num>
  <w:num w:numId="9" w16cid:durableId="503520646">
    <w:abstractNumId w:val="2"/>
  </w:num>
  <w:num w:numId="10" w16cid:durableId="1640377963">
    <w:abstractNumId w:val="20"/>
  </w:num>
  <w:num w:numId="11" w16cid:durableId="2119519460">
    <w:abstractNumId w:val="28"/>
  </w:num>
  <w:num w:numId="12" w16cid:durableId="436827233">
    <w:abstractNumId w:val="26"/>
  </w:num>
  <w:num w:numId="13" w16cid:durableId="1046834239">
    <w:abstractNumId w:val="10"/>
  </w:num>
  <w:num w:numId="14" w16cid:durableId="473570415">
    <w:abstractNumId w:val="1"/>
  </w:num>
  <w:num w:numId="15" w16cid:durableId="1819879546">
    <w:abstractNumId w:val="24"/>
  </w:num>
  <w:num w:numId="16" w16cid:durableId="246185202">
    <w:abstractNumId w:val="25"/>
  </w:num>
  <w:num w:numId="17" w16cid:durableId="436680474">
    <w:abstractNumId w:val="13"/>
  </w:num>
  <w:num w:numId="18" w16cid:durableId="575016094">
    <w:abstractNumId w:val="3"/>
  </w:num>
  <w:num w:numId="19" w16cid:durableId="557983713">
    <w:abstractNumId w:val="16"/>
  </w:num>
  <w:num w:numId="20" w16cid:durableId="1009527352">
    <w:abstractNumId w:val="9"/>
  </w:num>
  <w:num w:numId="21" w16cid:durableId="1776319000">
    <w:abstractNumId w:val="23"/>
  </w:num>
  <w:num w:numId="22" w16cid:durableId="1537691244">
    <w:abstractNumId w:val="17"/>
  </w:num>
  <w:num w:numId="23" w16cid:durableId="1692994127">
    <w:abstractNumId w:val="18"/>
  </w:num>
  <w:num w:numId="24" w16cid:durableId="1857191855">
    <w:abstractNumId w:val="11"/>
  </w:num>
  <w:num w:numId="25" w16cid:durableId="2006857853">
    <w:abstractNumId w:val="12"/>
  </w:num>
  <w:num w:numId="26" w16cid:durableId="818960169">
    <w:abstractNumId w:val="19"/>
  </w:num>
  <w:num w:numId="27" w16cid:durableId="950209099">
    <w:abstractNumId w:val="0"/>
  </w:num>
  <w:num w:numId="28" w16cid:durableId="1941913592">
    <w:abstractNumId w:val="6"/>
  </w:num>
  <w:num w:numId="29" w16cid:durableId="15474504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2E"/>
    <w:rsid w:val="00063CDB"/>
    <w:rsid w:val="00074DB0"/>
    <w:rsid w:val="000E208B"/>
    <w:rsid w:val="000F4057"/>
    <w:rsid w:val="0016430F"/>
    <w:rsid w:val="001F4531"/>
    <w:rsid w:val="00242867"/>
    <w:rsid w:val="002540E8"/>
    <w:rsid w:val="0031726A"/>
    <w:rsid w:val="003A140B"/>
    <w:rsid w:val="003D68F2"/>
    <w:rsid w:val="003E0DCB"/>
    <w:rsid w:val="0046313A"/>
    <w:rsid w:val="004D0D5B"/>
    <w:rsid w:val="004F7ADA"/>
    <w:rsid w:val="0057382E"/>
    <w:rsid w:val="005A14C0"/>
    <w:rsid w:val="00692761"/>
    <w:rsid w:val="0073692B"/>
    <w:rsid w:val="007464DE"/>
    <w:rsid w:val="00820E73"/>
    <w:rsid w:val="00846D78"/>
    <w:rsid w:val="008A70BF"/>
    <w:rsid w:val="008B791D"/>
    <w:rsid w:val="008F539E"/>
    <w:rsid w:val="00924FA0"/>
    <w:rsid w:val="00925A76"/>
    <w:rsid w:val="00A44796"/>
    <w:rsid w:val="00A57970"/>
    <w:rsid w:val="00AE1B61"/>
    <w:rsid w:val="00B40584"/>
    <w:rsid w:val="00B909F4"/>
    <w:rsid w:val="00BC7D1F"/>
    <w:rsid w:val="00C81803"/>
    <w:rsid w:val="00CE03E8"/>
    <w:rsid w:val="00D06540"/>
    <w:rsid w:val="00D5392C"/>
    <w:rsid w:val="00DB3FB6"/>
    <w:rsid w:val="00E00616"/>
    <w:rsid w:val="00E02B58"/>
    <w:rsid w:val="00E04DC9"/>
    <w:rsid w:val="00E13C33"/>
    <w:rsid w:val="00E25880"/>
    <w:rsid w:val="00E564B2"/>
    <w:rsid w:val="00E80A23"/>
    <w:rsid w:val="00F90216"/>
    <w:rsid w:val="00FC0F03"/>
    <w:rsid w:val="00FF27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FE4D9"/>
  <w15:chartTrackingRefBased/>
  <w15:docId w15:val="{A6DC6BA6-6563-3A41-8CE8-E98E388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63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13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6313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6313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6313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6313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6313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6313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6313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6313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63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13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63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13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6313A"/>
    <w:pPr>
      <w:spacing w:before="160"/>
      <w:jc w:val="center"/>
    </w:pPr>
    <w:rPr>
      <w:i/>
      <w:iCs/>
      <w:color w:val="404040" w:themeColor="text1" w:themeTint="BF"/>
    </w:rPr>
  </w:style>
  <w:style w:type="character" w:customStyle="1" w:styleId="QuoteChar">
    <w:name w:val="Quote Char"/>
    <w:basedOn w:val="DefaultParagraphFont"/>
    <w:link w:val="Quote"/>
    <w:uiPriority w:val="29"/>
    <w:rsid w:val="0046313A"/>
    <w:rPr>
      <w:i/>
      <w:iCs/>
      <w:color w:val="404040" w:themeColor="text1" w:themeTint="BF"/>
      <w:lang w:val="en-US"/>
    </w:rPr>
  </w:style>
  <w:style w:type="paragraph" w:styleId="ListParagraph">
    <w:name w:val="List Paragraph"/>
    <w:basedOn w:val="Normal"/>
    <w:uiPriority w:val="34"/>
    <w:qFormat/>
    <w:rsid w:val="0046313A"/>
    <w:pPr>
      <w:ind w:left="720"/>
      <w:contextualSpacing/>
    </w:pPr>
  </w:style>
  <w:style w:type="character" w:styleId="IntenseEmphasis">
    <w:name w:val="Intense Emphasis"/>
    <w:basedOn w:val="DefaultParagraphFont"/>
    <w:uiPriority w:val="21"/>
    <w:qFormat/>
    <w:rsid w:val="0046313A"/>
    <w:rPr>
      <w:i/>
      <w:iCs/>
      <w:color w:val="0F4761" w:themeColor="accent1" w:themeShade="BF"/>
    </w:rPr>
  </w:style>
  <w:style w:type="paragraph" w:styleId="IntenseQuote">
    <w:name w:val="Intense Quote"/>
    <w:basedOn w:val="Normal"/>
    <w:next w:val="Normal"/>
    <w:link w:val="IntenseQuoteChar"/>
    <w:uiPriority w:val="30"/>
    <w:qFormat/>
    <w:rsid w:val="00463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13A"/>
    <w:rPr>
      <w:i/>
      <w:iCs/>
      <w:color w:val="0F4761" w:themeColor="accent1" w:themeShade="BF"/>
      <w:lang w:val="en-US"/>
    </w:rPr>
  </w:style>
  <w:style w:type="character" w:styleId="IntenseReference">
    <w:name w:val="Intense Reference"/>
    <w:basedOn w:val="DefaultParagraphFont"/>
    <w:uiPriority w:val="32"/>
    <w:qFormat/>
    <w:rsid w:val="0046313A"/>
    <w:rPr>
      <w:b/>
      <w:bCs/>
      <w:smallCaps/>
      <w:color w:val="0F4761" w:themeColor="accent1" w:themeShade="BF"/>
      <w:spacing w:val="5"/>
    </w:rPr>
  </w:style>
  <w:style w:type="paragraph" w:styleId="Header">
    <w:name w:val="header"/>
    <w:basedOn w:val="Normal"/>
    <w:link w:val="HeaderChar"/>
    <w:uiPriority w:val="99"/>
    <w:unhideWhenUsed/>
    <w:rsid w:val="004631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313A"/>
    <w:rPr>
      <w:lang w:val="en-US"/>
    </w:rPr>
  </w:style>
  <w:style w:type="paragraph" w:styleId="Footer">
    <w:name w:val="footer"/>
    <w:basedOn w:val="Normal"/>
    <w:link w:val="FooterChar"/>
    <w:uiPriority w:val="99"/>
    <w:unhideWhenUsed/>
    <w:rsid w:val="004631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313A"/>
    <w:rPr>
      <w:lang w:val="en-US"/>
    </w:rPr>
  </w:style>
  <w:style w:type="character" w:styleId="Hyperlink">
    <w:name w:val="Hyperlink"/>
    <w:basedOn w:val="DefaultParagraphFont"/>
    <w:uiPriority w:val="99"/>
    <w:unhideWhenUsed/>
    <w:rsid w:val="005A14C0"/>
    <w:rPr>
      <w:color w:val="467886" w:themeColor="hyperlink"/>
      <w:u w:val="single"/>
    </w:rPr>
  </w:style>
  <w:style w:type="character" w:styleId="UnresolvedMention">
    <w:name w:val="Unresolved Mention"/>
    <w:basedOn w:val="DefaultParagraphFont"/>
    <w:uiPriority w:val="99"/>
    <w:semiHidden/>
    <w:unhideWhenUsed/>
    <w:rsid w:val="005A14C0"/>
    <w:rPr>
      <w:color w:val="605E5C"/>
      <w:shd w:val="clear" w:color="auto" w:fill="E1DFDD"/>
    </w:rPr>
  </w:style>
  <w:style w:type="paragraph" w:styleId="NormalWeb">
    <w:name w:val="Normal (Web)"/>
    <w:basedOn w:val="Normal"/>
    <w:uiPriority w:val="99"/>
    <w:semiHidden/>
    <w:unhideWhenUsed/>
    <w:rsid w:val="0057382E"/>
    <w:pPr>
      <w:spacing w:before="100" w:beforeAutospacing="1" w:after="100" w:afterAutospacing="1" w:line="240" w:lineRule="auto"/>
    </w:pPr>
    <w:rPr>
      <w:rFonts w:ascii="Times New Roman" w:eastAsia="Times New Roman" w:hAnsi="Times New Roman" w:cs="Times New Roman"/>
      <w:kern w:val="0"/>
      <w:sz w:val="24"/>
      <w:szCs w:val="24"/>
      <w:lang w:val="en-TR"/>
      <w14:ligatures w14:val="none"/>
    </w:rPr>
  </w:style>
  <w:style w:type="character" w:styleId="Strong">
    <w:name w:val="Strong"/>
    <w:basedOn w:val="DefaultParagraphFont"/>
    <w:uiPriority w:val="22"/>
    <w:qFormat/>
    <w:rsid w:val="0057382E"/>
    <w:rPr>
      <w:b/>
      <w:bCs/>
    </w:rPr>
  </w:style>
  <w:style w:type="character" w:styleId="Emphasis">
    <w:name w:val="Emphasis"/>
    <w:basedOn w:val="DefaultParagraphFont"/>
    <w:uiPriority w:val="20"/>
    <w:qFormat/>
    <w:rsid w:val="005738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8924">
      <w:bodyDiv w:val="1"/>
      <w:marLeft w:val="0"/>
      <w:marRight w:val="0"/>
      <w:marTop w:val="0"/>
      <w:marBottom w:val="0"/>
      <w:divBdr>
        <w:top w:val="none" w:sz="0" w:space="0" w:color="auto"/>
        <w:left w:val="none" w:sz="0" w:space="0" w:color="auto"/>
        <w:bottom w:val="none" w:sz="0" w:space="0" w:color="auto"/>
        <w:right w:val="none" w:sz="0" w:space="0" w:color="auto"/>
      </w:divBdr>
    </w:div>
    <w:div w:id="285435254">
      <w:bodyDiv w:val="1"/>
      <w:marLeft w:val="0"/>
      <w:marRight w:val="0"/>
      <w:marTop w:val="0"/>
      <w:marBottom w:val="0"/>
      <w:divBdr>
        <w:top w:val="none" w:sz="0" w:space="0" w:color="auto"/>
        <w:left w:val="none" w:sz="0" w:space="0" w:color="auto"/>
        <w:bottom w:val="none" w:sz="0" w:space="0" w:color="auto"/>
        <w:right w:val="none" w:sz="0" w:space="0" w:color="auto"/>
      </w:divBdr>
    </w:div>
    <w:div w:id="522132739">
      <w:bodyDiv w:val="1"/>
      <w:marLeft w:val="0"/>
      <w:marRight w:val="0"/>
      <w:marTop w:val="0"/>
      <w:marBottom w:val="0"/>
      <w:divBdr>
        <w:top w:val="none" w:sz="0" w:space="0" w:color="auto"/>
        <w:left w:val="none" w:sz="0" w:space="0" w:color="auto"/>
        <w:bottom w:val="none" w:sz="0" w:space="0" w:color="auto"/>
        <w:right w:val="none" w:sz="0" w:space="0" w:color="auto"/>
      </w:divBdr>
    </w:div>
    <w:div w:id="1197354609">
      <w:bodyDiv w:val="1"/>
      <w:marLeft w:val="0"/>
      <w:marRight w:val="0"/>
      <w:marTop w:val="0"/>
      <w:marBottom w:val="0"/>
      <w:divBdr>
        <w:top w:val="none" w:sz="0" w:space="0" w:color="auto"/>
        <w:left w:val="none" w:sz="0" w:space="0" w:color="auto"/>
        <w:bottom w:val="none" w:sz="0" w:space="0" w:color="auto"/>
        <w:right w:val="none" w:sz="0" w:space="0" w:color="auto"/>
      </w:divBdr>
    </w:div>
    <w:div w:id="1207373496">
      <w:bodyDiv w:val="1"/>
      <w:marLeft w:val="0"/>
      <w:marRight w:val="0"/>
      <w:marTop w:val="0"/>
      <w:marBottom w:val="0"/>
      <w:divBdr>
        <w:top w:val="none" w:sz="0" w:space="0" w:color="auto"/>
        <w:left w:val="none" w:sz="0" w:space="0" w:color="auto"/>
        <w:bottom w:val="none" w:sz="0" w:space="0" w:color="auto"/>
        <w:right w:val="none" w:sz="0" w:space="0" w:color="auto"/>
      </w:divBdr>
    </w:div>
    <w:div w:id="1257177323">
      <w:bodyDiv w:val="1"/>
      <w:marLeft w:val="0"/>
      <w:marRight w:val="0"/>
      <w:marTop w:val="0"/>
      <w:marBottom w:val="0"/>
      <w:divBdr>
        <w:top w:val="none" w:sz="0" w:space="0" w:color="auto"/>
        <w:left w:val="none" w:sz="0" w:space="0" w:color="auto"/>
        <w:bottom w:val="none" w:sz="0" w:space="0" w:color="auto"/>
        <w:right w:val="none" w:sz="0" w:space="0" w:color="auto"/>
      </w:divBdr>
    </w:div>
    <w:div w:id="1380320148">
      <w:bodyDiv w:val="1"/>
      <w:marLeft w:val="0"/>
      <w:marRight w:val="0"/>
      <w:marTop w:val="0"/>
      <w:marBottom w:val="0"/>
      <w:divBdr>
        <w:top w:val="none" w:sz="0" w:space="0" w:color="auto"/>
        <w:left w:val="none" w:sz="0" w:space="0" w:color="auto"/>
        <w:bottom w:val="none" w:sz="0" w:space="0" w:color="auto"/>
        <w:right w:val="none" w:sz="0" w:space="0" w:color="auto"/>
      </w:divBdr>
    </w:div>
    <w:div w:id="1528130646">
      <w:bodyDiv w:val="1"/>
      <w:marLeft w:val="0"/>
      <w:marRight w:val="0"/>
      <w:marTop w:val="0"/>
      <w:marBottom w:val="0"/>
      <w:divBdr>
        <w:top w:val="none" w:sz="0" w:space="0" w:color="auto"/>
        <w:left w:val="none" w:sz="0" w:space="0" w:color="auto"/>
        <w:bottom w:val="none" w:sz="0" w:space="0" w:color="auto"/>
        <w:right w:val="none" w:sz="0" w:space="0" w:color="auto"/>
      </w:divBdr>
    </w:div>
    <w:div w:id="1562213174">
      <w:bodyDiv w:val="1"/>
      <w:marLeft w:val="0"/>
      <w:marRight w:val="0"/>
      <w:marTop w:val="0"/>
      <w:marBottom w:val="0"/>
      <w:divBdr>
        <w:top w:val="none" w:sz="0" w:space="0" w:color="auto"/>
        <w:left w:val="none" w:sz="0" w:space="0" w:color="auto"/>
        <w:bottom w:val="none" w:sz="0" w:space="0" w:color="auto"/>
        <w:right w:val="none" w:sz="0" w:space="0" w:color="auto"/>
      </w:divBdr>
    </w:div>
    <w:div w:id="161921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qualtronsinclai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urakakcakanat/Library/Group%20Containers/UBF8T346G9.Office/User%20Content.localized/Templates.localized/QS%20HEADER%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QS HEADER 2.dotx</Template>
  <TotalTime>5</TotalTime>
  <Pages>5</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Akcakanat</dc:creator>
  <cp:keywords>QS HEADER</cp:keywords>
  <dc:description/>
  <cp:lastModifiedBy>Burak Akcakanat</cp:lastModifiedBy>
  <cp:revision>2</cp:revision>
  <dcterms:created xsi:type="dcterms:W3CDTF">2026-03-23T17:13:00Z</dcterms:created>
  <dcterms:modified xsi:type="dcterms:W3CDTF">2026-03-23T17:25:00Z</dcterms:modified>
</cp:coreProperties>
</file>