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480"/>
        <w:jc w:val="center"/>
        <w:rPr>
          <w:rFonts w:ascii="Arial" w:hAnsi="Arial" w:eastAsia="Arial" w:cs="Arial"/>
          <w:b/>
          <w:bCs/>
          <w:sz w:val="36"/>
          <w:szCs w:val="36"/>
        </w:rPr>
      </w:pPr>
      <w:r>
        <w:rPr>
          <w:rFonts w:eastAsia="Arial" w:cs="Arial"/>
          <w:b/>
          <w:bCs/>
          <w:sz w:val="36"/>
          <w:szCs w:val="36"/>
        </w:rPr>
        <w:t>POSITION PAPER</w:t>
      </w:r>
    </w:p>
    <w:p>
      <w:pPr>
        <w:pStyle w:val="Normal"/>
        <w:bidi w:val="0"/>
        <w:spacing w:before="0" w:after="240"/>
        <w:jc w:val="center"/>
        <w:rPr>
          <w:rFonts w:ascii="Arial" w:hAnsi="Arial" w:eastAsia="Arial" w:cs="Arial"/>
          <w:b/>
          <w:bCs/>
          <w:sz w:val="30"/>
          <w:szCs w:val="30"/>
        </w:rPr>
      </w:pPr>
      <w:r>
        <w:rPr>
          <w:rFonts w:eastAsia="Arial" w:cs="Arial"/>
          <w:b/>
          <w:bCs/>
          <w:sz w:val="30"/>
          <w:szCs w:val="30"/>
        </w:rPr>
        <w:t>Patent Status of Common Sour Fig (Carpobrotus edulis):</w:t>
      </w:r>
    </w:p>
    <w:p>
      <w:pPr>
        <w:pStyle w:val="Normal"/>
        <w:bidi w:val="0"/>
        <w:spacing w:before="0" w:after="480"/>
        <w:jc w:val="center"/>
        <w:rPr>
          <w:rFonts w:ascii="Arial" w:hAnsi="Arial" w:eastAsia="Arial" w:cs="Arial"/>
          <w:b/>
          <w:bCs/>
          <w:sz w:val="30"/>
          <w:szCs w:val="30"/>
        </w:rPr>
      </w:pPr>
      <w:r>
        <w:rPr>
          <w:rFonts w:eastAsia="Arial" w:cs="Arial"/>
          <w:b/>
          <w:bCs/>
          <w:sz w:val="30"/>
          <w:szCs w:val="30"/>
        </w:rPr>
        <w:t>Open Science, Indigenous Knowledge Systems, and the Biopiracy Debate</w:t>
      </w:r>
    </w:p>
    <w:p>
      <w:pPr>
        <w:pStyle w:val="Normal"/>
        <w:bidi w:val="0"/>
        <w:spacing w:before="0" w:after="960"/>
        <w:jc w:val="center"/>
        <w:rPr>
          <w:rFonts w:ascii="Arial" w:hAnsi="Arial" w:eastAsia="Arial" w:cs="Arial"/>
          <w:i/>
          <w:i/>
          <w:iCs/>
          <w:sz w:val="24"/>
          <w:szCs w:val="24"/>
        </w:rPr>
      </w:pPr>
      <w:r>
        <w:rPr>
          <w:rFonts w:eastAsia="Arial" w:cs="Arial"/>
          <w:i/>
          <w:iCs/>
          <w:sz w:val="24"/>
          <w:szCs w:val="24"/>
        </w:rPr>
        <w:t>David Robert Lewis</w:t>
      </w:r>
    </w:p>
    <w:p>
      <w:pPr>
        <w:pStyle w:val="Normal"/>
        <w:bidi w:val="0"/>
        <w:spacing w:before="0" w:after="960"/>
        <w:jc w:val="center"/>
        <w:rPr>
          <w:rFonts w:ascii="Arial" w:hAnsi="Arial" w:eastAsia="Arial" w:cs="Arial"/>
          <w:i/>
          <w:i/>
          <w:iCs/>
          <w:sz w:val="24"/>
          <w:szCs w:val="24"/>
        </w:rPr>
      </w:pPr>
      <w:r>
        <w:rPr>
          <w:rFonts w:eastAsia="Arial" w:cs="Arial"/>
          <w:i/>
          <w:iCs/>
          <w:sz w:val="24"/>
          <w:szCs w:val="24"/>
        </w:rPr>
        <w:t>March 2026</w:t>
      </w:r>
    </w:p>
    <w:p>
      <w:pPr>
        <w:pStyle w:val="Heading1"/>
        <w:numPr>
          <w:ilvl w:val="0"/>
          <w:numId w:val="0"/>
        </w:numPr>
        <w:bidi w:val="0"/>
        <w:spacing w:before="240" w:after="240"/>
        <w:ind w:hanging="0" w:left="0"/>
        <w:jc w:val="left"/>
        <w:rPr/>
      </w:pPr>
      <w:r>
        <w:rPr/>
        <w:t>Executive Summary</w:t>
      </w:r>
    </w:p>
    <w:p>
      <w:pPr>
        <w:pStyle w:val="Normal"/>
        <w:bidi w:val="0"/>
        <w:spacing w:before="0" w:after="240"/>
        <w:jc w:val="left"/>
        <w:rPr/>
      </w:pPr>
      <w:r>
        <w:rPr/>
        <w:t>This position paper examines the complex intersection of intellectual property rights, indigenous knowledge systems, and biopiracy concerns regarding the Common Sour Fig (</w:t>
      </w:r>
      <w:r>
        <w:rPr>
          <w:i/>
          <w:iCs/>
        </w:rPr>
        <w:t>Carpobrotus edulis</w:t>
      </w:r>
      <w:r>
        <w:rPr/>
        <w:t>), a plant species with significant traditional medicinal applications among multiple indigenous communities in Southern Africa, including the Khoi, San, Xhosa, Zulu, and Basotho peoples. The paper analyzes emerging patent trends, draws parallels with previous cases involving Rooibos Tea and Hoodia, and advocates for equitable benefit-sharing mechanisms that honor indigenous knowledge while supporting scientific innovation.</w:t>
      </w:r>
    </w:p>
    <w:p>
      <w:pPr>
        <w:pStyle w:val="Heading1"/>
        <w:numPr>
          <w:ilvl w:val="0"/>
          <w:numId w:val="0"/>
        </w:numPr>
        <w:bidi w:val="0"/>
        <w:spacing w:before="240" w:after="240"/>
        <w:ind w:hanging="0" w:left="0"/>
        <w:jc w:val="left"/>
        <w:rPr/>
      </w:pPr>
      <w:r>
        <w:rPr/>
        <w:t>1. Introduction</w:t>
      </w:r>
    </w:p>
    <w:p>
      <w:pPr>
        <w:pStyle w:val="Normal"/>
        <w:bidi w:val="0"/>
        <w:spacing w:before="0" w:after="240"/>
        <w:jc w:val="left"/>
        <w:rPr/>
      </w:pPr>
      <w:r>
        <w:rPr/>
        <w:t>The Common Sour Fig (</w:t>
      </w:r>
      <w:r>
        <w:rPr>
          <w:i/>
          <w:iCs/>
        </w:rPr>
        <w:t>Carpobrotus edulis</w:t>
      </w:r>
      <w:r>
        <w:rPr/>
        <w:t>), known in Afrikaans as '</w:t>
      </w:r>
      <w:r>
        <w:rPr>
          <w:i/>
          <w:iCs/>
        </w:rPr>
        <w:t>suurvy</w:t>
      </w:r>
      <w:r>
        <w:rPr/>
        <w:t>' or '</w:t>
      </w:r>
      <w:r>
        <w:rPr>
          <w:i/>
          <w:iCs/>
        </w:rPr>
        <w:t>hotnotsvye</w:t>
      </w:r>
      <w:r>
        <w:rPr/>
        <w:t>,' has been used for centuries by indigenous Southern African communities for medicinal purposes including wound healing, treatment of digestive ailments, mouth infections, and tuberculosis. As commercial interest in this plant's therapeutic properties intensifies, patent applications relating to its bioactive compounds have emerged globally, raising critical questions about the protection of indigenous knowledge and equitable benefit-sharing.</w:t>
      </w:r>
    </w:p>
    <w:p>
      <w:pPr>
        <w:pStyle w:val="Normal"/>
        <w:bidi w:val="0"/>
        <w:spacing w:before="0" w:after="240"/>
        <w:jc w:val="left"/>
        <w:rPr/>
      </w:pPr>
      <w:r>
        <w:rPr/>
        <w:t>This paper contends that the current intellectual property framework inadequately protects traditional knowledge holders and perpetuates historical patterns of biopiracy that have characterized previous cases involving African indigenous botanical resources. It calls for reformed patent examination procedures, mandatory disclosure of traditional knowledge origins, and community-centered benefit-sharing agreements.</w:t>
      </w:r>
    </w:p>
    <w:p>
      <w:pPr>
        <w:pStyle w:val="Heading1"/>
        <w:numPr>
          <w:ilvl w:val="0"/>
          <w:numId w:val="0"/>
        </w:numPr>
        <w:bidi w:val="0"/>
        <w:spacing w:before="240" w:after="240"/>
        <w:ind w:hanging="0" w:left="0"/>
        <w:jc w:val="left"/>
        <w:rPr/>
      </w:pPr>
      <w:r>
        <w:rPr/>
        <w:t>2. Common Sour Fig: Indigenous Knowledge and Traditional Uses</w:t>
      </w:r>
    </w:p>
    <w:p>
      <w:pPr>
        <w:pStyle w:val="Heading2"/>
        <w:numPr>
          <w:ilvl w:val="0"/>
          <w:numId w:val="0"/>
        </w:numPr>
        <w:bidi w:val="0"/>
        <w:spacing w:before="180" w:after="180"/>
        <w:ind w:hanging="0" w:left="0"/>
        <w:jc w:val="left"/>
        <w:rPr/>
      </w:pPr>
      <w:r>
        <w:rPr/>
        <w:t>2.1 Traditional Knowledge Base</w:t>
      </w:r>
    </w:p>
    <w:p>
      <w:pPr>
        <w:pStyle w:val="Normal"/>
        <w:bidi w:val="0"/>
        <w:spacing w:before="0" w:after="240"/>
        <w:jc w:val="left"/>
        <w:rPr/>
      </w:pPr>
      <w:r>
        <w:rPr/>
        <w:t>Indigenous Southern African communities from multiple ethnic groups have cultivated extensive knowledge about Carpobrotus edulis over millennia. This includes the Khoi and San peoples, the Xhosa (who call the plant “i</w:t>
      </w:r>
      <w:r>
        <w:rPr>
          <w:i/>
          <w:iCs/>
        </w:rPr>
        <w:t>gcukuma</w:t>
      </w:r>
      <w:r>
        <w:rPr/>
        <w:t>”), the Zulu (who refer to it as “</w:t>
      </w:r>
      <w:r>
        <w:rPr>
          <w:i/>
          <w:iCs/>
        </w:rPr>
        <w:t>ikhambi-lamabulawo</w:t>
      </w:r>
      <w:r>
        <w:rPr/>
        <w:t>” or “</w:t>
      </w:r>
      <w:r>
        <w:rPr>
          <w:i/>
          <w:iCs/>
        </w:rPr>
        <w:t>umgongozi</w:t>
      </w:r>
      <w:r>
        <w:rPr/>
        <w:t>”), and the Basotho, among others. Each community has developed distinct yet overlapping traditional knowledge systems regarding the plant’s therapeutic applications. Traditional applications documented in ethnobotanical research include:</w:t>
      </w:r>
    </w:p>
    <w:p>
      <w:pPr>
        <w:pStyle w:val="ListParagraph"/>
        <w:numPr>
          <w:ilvl w:val="0"/>
          <w:numId w:val="92"/>
        </w:numPr>
        <w:bidi w:val="0"/>
        <w:jc w:val="left"/>
        <w:rPr/>
      </w:pPr>
      <w:r>
        <w:rPr/>
        <w:t>Topical treatment for burns, wounds, and skin infections using the mucilaginous leaf gel</w:t>
      </w:r>
    </w:p>
    <w:p>
      <w:pPr>
        <w:pStyle w:val="ListParagraph"/>
        <w:numPr>
          <w:ilvl w:val="0"/>
          <w:numId w:val="93"/>
        </w:numPr>
        <w:bidi w:val="0"/>
        <w:jc w:val="left"/>
        <w:rPr/>
      </w:pPr>
      <w:r>
        <w:rPr/>
        <w:t>Oral administration for digestive complaints, including diarrhea and dysentery</w:t>
      </w:r>
    </w:p>
    <w:p>
      <w:pPr>
        <w:pStyle w:val="ListParagraph"/>
        <w:numPr>
          <w:ilvl w:val="0"/>
          <w:numId w:val="94"/>
        </w:numPr>
        <w:bidi w:val="0"/>
        <w:jc w:val="left"/>
        <w:rPr/>
      </w:pPr>
      <w:r>
        <w:rPr/>
        <w:t>Treatment of mouth infections, thrush, and throat ailments</w:t>
      </w:r>
    </w:p>
    <w:p>
      <w:pPr>
        <w:pStyle w:val="ListParagraph"/>
        <w:numPr>
          <w:ilvl w:val="0"/>
          <w:numId w:val="95"/>
        </w:numPr>
        <w:bidi w:val="0"/>
        <w:jc w:val="left"/>
        <w:rPr/>
      </w:pPr>
      <w:r>
        <w:rPr/>
        <w:t>Management of tuberculosis symptoms</w:t>
      </w:r>
    </w:p>
    <w:p>
      <w:pPr>
        <w:pStyle w:val="ListParagraph"/>
        <w:numPr>
          <w:ilvl w:val="0"/>
          <w:numId w:val="96"/>
        </w:numPr>
        <w:bidi w:val="0"/>
        <w:spacing w:before="0" w:after="240"/>
        <w:jc w:val="left"/>
        <w:rPr/>
      </w:pPr>
      <w:r>
        <w:rPr/>
        <w:t>Edible fruit consumed for nutritional and medicinal purposes</w:t>
      </w:r>
    </w:p>
    <w:p>
      <w:pPr>
        <w:pStyle w:val="Heading2"/>
        <w:numPr>
          <w:ilvl w:val="0"/>
          <w:numId w:val="0"/>
        </w:numPr>
        <w:bidi w:val="0"/>
        <w:spacing w:before="180" w:after="180"/>
        <w:ind w:hanging="0" w:left="0"/>
        <w:jc w:val="left"/>
        <w:rPr/>
      </w:pPr>
      <w:r>
        <w:rPr/>
        <w:t>2.2 Indigenous Knowledge Beyond Biomedicine</w:t>
      </w:r>
    </w:p>
    <w:p>
      <w:pPr>
        <w:pStyle w:val="Normal"/>
        <w:bidi w:val="0"/>
        <w:spacing w:before="0" w:after="240"/>
        <w:jc w:val="left"/>
        <w:rPr/>
      </w:pPr>
      <w:r>
        <w:rPr/>
        <w:t xml:space="preserve">It is critical to recognize that indigenous knowledge systems extend far beyond biomedical applications. Academic research across multiple disciplines -- including anthropology, environmental sciences, agriculture, ecology, and cultural studies -- has documented comprehensive indigenous knowledge regarding plant cultivation, ecosystem management, seasonal harvesting practices, spiritual significance, and cultural protocols surrounding the use of </w:t>
      </w:r>
      <w:r>
        <w:rPr>
          <w:i/>
          <w:iCs/>
        </w:rPr>
        <w:t>Carpobrotus edulis</w:t>
      </w:r>
      <w:r>
        <w:rPr/>
        <w:t>. This holistic understanding represents generations of accumulated wisdom that cannot be reduced merely to biochemical properties suitable for patent claims.</w:t>
      </w:r>
    </w:p>
    <w:p>
      <w:pPr>
        <w:pStyle w:val="Normal"/>
        <w:bidi w:val="0"/>
        <w:spacing w:before="0" w:after="240"/>
        <w:jc w:val="left"/>
        <w:rPr/>
      </w:pPr>
      <w:r>
        <w:rPr/>
        <w:t>The tendency of patent systems to fragment and commodify isolated aspects of indigenous knowledge -- extracting specific medicinal applications while ignoring broader ecological, cultural, and spiritual contexts -- constitutes a form of epistemological violence that devalues traditional knowledge systems in their entirety.</w:t>
      </w:r>
    </w:p>
    <w:p>
      <w:pPr>
        <w:pStyle w:val="Heading1"/>
        <w:numPr>
          <w:ilvl w:val="0"/>
          <w:numId w:val="0"/>
        </w:numPr>
        <w:bidi w:val="0"/>
        <w:spacing w:before="240" w:after="240"/>
        <w:ind w:hanging="0" w:left="0"/>
        <w:jc w:val="left"/>
        <w:rPr/>
      </w:pPr>
      <w:r>
        <w:rPr/>
        <w:t>3. Patent Application Trends: Geographic and Temporal Analysis</w:t>
      </w:r>
    </w:p>
    <w:p>
      <w:pPr>
        <w:pStyle w:val="Heading2"/>
        <w:numPr>
          <w:ilvl w:val="0"/>
          <w:numId w:val="0"/>
        </w:numPr>
        <w:bidi w:val="0"/>
        <w:spacing w:before="180" w:after="180"/>
        <w:ind w:hanging="0" w:left="0"/>
        <w:jc w:val="left"/>
        <w:rPr/>
      </w:pPr>
      <w:r>
        <w:rPr/>
        <w:t>3.1 Historical Pattern: European and Chinese Dominance (Pre-2020)</w:t>
      </w:r>
    </w:p>
    <w:p>
      <w:pPr>
        <w:pStyle w:val="Normal"/>
        <w:bidi w:val="0"/>
        <w:spacing w:before="0" w:after="240"/>
        <w:jc w:val="left"/>
        <w:rPr/>
      </w:pPr>
      <w:r>
        <w:rPr/>
        <w:t>Prior to 2020, patent applications relating to Carpobrotus edulis were predominantly filed by European and Chinese entities. European applications typically focused on cosmetic formulations and skin care products capitalizing on the plant's anti-inflammatory and antioxidant properties. Chinese applicants concentrated on extraction methods, pharmaceutical compositions, and industrial-scale cultivation techniques.</w:t>
      </w:r>
    </w:p>
    <w:p>
      <w:pPr>
        <w:pStyle w:val="Normal"/>
        <w:bidi w:val="0"/>
        <w:spacing w:before="0" w:after="240"/>
        <w:jc w:val="left"/>
        <w:rPr/>
      </w:pPr>
      <w:r>
        <w:rPr/>
        <w:t>This geographic pattern reflects a broader historical trend in which economically developed nations extract biological resources and associated traditional knowledge from biodiversity-rich developing countries -- a practice widely critiqued as biopiracy. South African communities possessing traditional knowledge remained conspicuously absent from the patent landscape during this period, reflecting structural barriers including:</w:t>
      </w:r>
    </w:p>
    <w:p>
      <w:pPr>
        <w:pStyle w:val="ListParagraph"/>
        <w:numPr>
          <w:ilvl w:val="0"/>
          <w:numId w:val="97"/>
        </w:numPr>
        <w:bidi w:val="0"/>
        <w:jc w:val="left"/>
        <w:rPr/>
      </w:pPr>
      <w:r>
        <w:rPr/>
        <w:t>Limited access to patent expertise and resources</w:t>
      </w:r>
    </w:p>
    <w:p>
      <w:pPr>
        <w:pStyle w:val="ListParagraph"/>
        <w:numPr>
          <w:ilvl w:val="0"/>
          <w:numId w:val="98"/>
        </w:numPr>
        <w:bidi w:val="0"/>
        <w:jc w:val="left"/>
        <w:rPr/>
      </w:pPr>
      <w:r>
        <w:rPr/>
        <w:t>High costs of patent prosecution and international filing</w:t>
      </w:r>
    </w:p>
    <w:p>
      <w:pPr>
        <w:pStyle w:val="ListParagraph"/>
        <w:numPr>
          <w:ilvl w:val="0"/>
          <w:numId w:val="99"/>
        </w:numPr>
        <w:bidi w:val="0"/>
        <w:jc w:val="left"/>
        <w:rPr/>
      </w:pPr>
      <w:r>
        <w:rPr/>
        <w:t>Cultural incompatibility between communal knowledge systems and individual inventor requirements</w:t>
      </w:r>
    </w:p>
    <w:p>
      <w:pPr>
        <w:pStyle w:val="ListParagraph"/>
        <w:numPr>
          <w:ilvl w:val="0"/>
          <w:numId w:val="100"/>
        </w:numPr>
        <w:bidi w:val="0"/>
        <w:spacing w:before="0" w:after="240"/>
        <w:jc w:val="left"/>
        <w:rPr/>
      </w:pPr>
      <w:r>
        <w:rPr/>
        <w:t>Lack of awareness regarding intellectual property protections</w:t>
      </w:r>
    </w:p>
    <w:p>
      <w:pPr>
        <w:pStyle w:val="Heading2"/>
        <w:numPr>
          <w:ilvl w:val="0"/>
          <w:numId w:val="0"/>
        </w:numPr>
        <w:bidi w:val="0"/>
        <w:spacing w:before="180" w:after="180"/>
        <w:ind w:hanging="0" w:left="0"/>
        <w:jc w:val="left"/>
        <w:rPr/>
      </w:pPr>
      <w:r>
        <w:rPr/>
        <w:t>3.2 Emerging Trend: South African Patent Activity (Post-2020)</w:t>
      </w:r>
    </w:p>
    <w:p>
      <w:pPr>
        <w:pStyle w:val="Normal"/>
        <w:bidi w:val="0"/>
        <w:spacing w:before="0" w:after="240"/>
        <w:jc w:val="left"/>
        <w:rPr/>
      </w:pPr>
      <w:r>
        <w:rPr/>
        <w:t>Since 2020, a notable shift has occurred, with increasing patent applications originating from South African entities, including research institutions, biotechnology companies, and indigenous community partnerships. This development reflects several factors:</w:t>
      </w:r>
    </w:p>
    <w:p>
      <w:pPr>
        <w:pStyle w:val="ListParagraph"/>
        <w:numPr>
          <w:ilvl w:val="0"/>
          <w:numId w:val="101"/>
        </w:numPr>
        <w:bidi w:val="0"/>
        <w:jc w:val="left"/>
        <w:rPr/>
      </w:pPr>
      <w:r>
        <w:rPr/>
        <w:t>Growing awareness of biopiracy concerns and defensive patenting strategies</w:t>
      </w:r>
    </w:p>
    <w:p>
      <w:pPr>
        <w:pStyle w:val="ListParagraph"/>
        <w:numPr>
          <w:ilvl w:val="0"/>
          <w:numId w:val="102"/>
        </w:numPr>
        <w:bidi w:val="0"/>
        <w:jc w:val="left"/>
        <w:rPr/>
      </w:pPr>
      <w:r>
        <w:rPr/>
        <w:t>Development of community-university research collaborations</w:t>
      </w:r>
    </w:p>
    <w:p>
      <w:pPr>
        <w:pStyle w:val="ListParagraph"/>
        <w:numPr>
          <w:ilvl w:val="0"/>
          <w:numId w:val="103"/>
        </w:numPr>
        <w:bidi w:val="0"/>
        <w:jc w:val="left"/>
        <w:rPr/>
      </w:pPr>
      <w:r>
        <w:rPr/>
        <w:t>Implementation of Access and Benefit-Sharing (ABS) frameworks under the Nagoya Protocol</w:t>
      </w:r>
    </w:p>
    <w:p>
      <w:pPr>
        <w:pStyle w:val="ListParagraph"/>
        <w:numPr>
          <w:ilvl w:val="0"/>
          <w:numId w:val="104"/>
        </w:numPr>
        <w:bidi w:val="0"/>
        <w:spacing w:before="0" w:after="240"/>
        <w:jc w:val="left"/>
        <w:rPr/>
      </w:pPr>
      <w:r>
        <w:rPr/>
        <w:t>Increased institutional support for indigenous intellectual property protection</w:t>
      </w:r>
    </w:p>
    <w:p>
      <w:pPr>
        <w:pStyle w:val="Normal"/>
        <w:bidi w:val="0"/>
        <w:spacing w:before="0" w:after="240"/>
        <w:jc w:val="left"/>
        <w:rPr/>
      </w:pPr>
      <w:r>
        <w:rPr/>
        <w:t>While this trend represents progress toward equitable participation in intellectual property systems, it simultaneously raises questions about whether patent frameworks -- fundamentally designed to privatize knowledge -- can adequately serve communities whose epistemological traditions emphasize collective stewardship rather than individual ownership.</w:t>
      </w:r>
    </w:p>
    <w:p>
      <w:pPr>
        <w:pStyle w:val="Heading1"/>
        <w:numPr>
          <w:ilvl w:val="0"/>
          <w:numId w:val="0"/>
        </w:numPr>
        <w:bidi w:val="0"/>
        <w:spacing w:before="240" w:after="240"/>
        <w:ind w:hanging="0" w:left="0"/>
        <w:jc w:val="left"/>
        <w:rPr/>
      </w:pPr>
      <w:r>
        <w:rPr/>
        <w:t>4. Historical Precedents: Rooibos Tea and Hoodia</w:t>
      </w:r>
    </w:p>
    <w:p>
      <w:pPr>
        <w:pStyle w:val="Normal"/>
        <w:bidi w:val="0"/>
        <w:spacing w:before="0" w:after="240"/>
        <w:jc w:val="left"/>
        <w:rPr/>
      </w:pPr>
      <w:r>
        <w:rPr/>
        <w:t xml:space="preserve">Two previous cases involving South African indigenous plant knowledge provide critical context for understanding the stakes involved in the </w:t>
      </w:r>
      <w:r>
        <w:rPr>
          <w:i/>
          <w:iCs/>
        </w:rPr>
        <w:t>Carpobrotus edulis</w:t>
      </w:r>
      <w:r>
        <w:rPr/>
        <w:t xml:space="preserve"> patent landscape.</w:t>
      </w:r>
    </w:p>
    <w:p>
      <w:pPr>
        <w:pStyle w:val="Heading2"/>
        <w:numPr>
          <w:ilvl w:val="0"/>
          <w:numId w:val="0"/>
        </w:numPr>
        <w:bidi w:val="0"/>
        <w:spacing w:before="180" w:after="180"/>
        <w:ind w:hanging="0" w:left="0"/>
        <w:jc w:val="left"/>
        <w:rPr/>
      </w:pPr>
      <w:r>
        <w:rPr/>
        <w:t>4.1 The Hoodia Case: A Model for Benefit-Sharing</w:t>
      </w:r>
    </w:p>
    <w:p>
      <w:pPr>
        <w:pStyle w:val="Normal"/>
        <w:bidi w:val="0"/>
        <w:spacing w:before="0" w:after="240"/>
        <w:jc w:val="left"/>
        <w:rPr/>
      </w:pPr>
      <w:r>
        <w:rPr>
          <w:i/>
          <w:iCs/>
        </w:rPr>
        <w:t>Hoodia gordonii,</w:t>
      </w:r>
      <w:r>
        <w:rPr/>
        <w:t xml:space="preserve"> a succulent plant traditionally used by San communities as an appetite suppressant during long hunting expeditions, became the subject of patent applications by South Africa's Council for Scientific and Industrial Research (CSIR) in the late 1990s. The CSIR licensed the patent to pharmaceutical companies without initially consulting or compensating San communities.</w:t>
      </w:r>
    </w:p>
    <w:p>
      <w:pPr>
        <w:pStyle w:val="Normal"/>
        <w:bidi w:val="0"/>
        <w:spacing w:before="0" w:after="240"/>
        <w:jc w:val="left"/>
        <w:rPr/>
      </w:pPr>
      <w:r>
        <w:rPr/>
        <w:t>Following international outcry and advocacy by the South African San Council, a landmark benefit-sharing agreement was negotiated in 2003. This agreement provided for:</w:t>
      </w:r>
    </w:p>
    <w:p>
      <w:pPr>
        <w:pStyle w:val="ListParagraph"/>
        <w:numPr>
          <w:ilvl w:val="0"/>
          <w:numId w:val="105"/>
        </w:numPr>
        <w:bidi w:val="0"/>
        <w:jc w:val="left"/>
        <w:rPr/>
      </w:pPr>
      <w:r>
        <w:rPr/>
        <w:t>Direct financial compensation to San communities</w:t>
      </w:r>
    </w:p>
    <w:p>
      <w:pPr>
        <w:pStyle w:val="ListParagraph"/>
        <w:numPr>
          <w:ilvl w:val="0"/>
          <w:numId w:val="106"/>
        </w:numPr>
        <w:bidi w:val="0"/>
        <w:jc w:val="left"/>
        <w:rPr/>
      </w:pPr>
      <w:r>
        <w:rPr/>
        <w:t>Milestone payments and royalties from product commercialization</w:t>
      </w:r>
    </w:p>
    <w:p>
      <w:pPr>
        <w:pStyle w:val="ListParagraph"/>
        <w:numPr>
          <w:ilvl w:val="0"/>
          <w:numId w:val="107"/>
        </w:numPr>
        <w:bidi w:val="0"/>
        <w:jc w:val="left"/>
        <w:rPr/>
      </w:pPr>
      <w:r>
        <w:rPr/>
        <w:t>Recognition of San traditional knowledge in patent documentation</w:t>
      </w:r>
    </w:p>
    <w:p>
      <w:pPr>
        <w:pStyle w:val="ListParagraph"/>
        <w:numPr>
          <w:ilvl w:val="0"/>
          <w:numId w:val="108"/>
        </w:numPr>
        <w:bidi w:val="0"/>
        <w:spacing w:before="0" w:after="240"/>
        <w:jc w:val="left"/>
        <w:rPr/>
      </w:pPr>
      <w:r>
        <w:rPr/>
        <w:t>Community development initiatives funded by licensing revenues</w:t>
      </w:r>
    </w:p>
    <w:p>
      <w:pPr>
        <w:pStyle w:val="Normal"/>
        <w:bidi w:val="0"/>
        <w:spacing w:before="0" w:after="240"/>
        <w:jc w:val="left"/>
        <w:rPr/>
      </w:pPr>
      <w:r>
        <w:rPr/>
        <w:t>The Hoodia settlement established an important precedent demonstrating that retrospective benefit-sharing arrangements are possible when indigenous knowledge contributions are acknowledged. However, the case also highlighted the inadequacy of existing legal frameworks in preventing biopiracy proactively rather than remedying it reactively.</w:t>
      </w:r>
    </w:p>
    <w:p>
      <w:pPr>
        <w:pStyle w:val="Heading2"/>
        <w:numPr>
          <w:ilvl w:val="0"/>
          <w:numId w:val="0"/>
        </w:numPr>
        <w:bidi w:val="0"/>
        <w:spacing w:before="180" w:after="180"/>
        <w:ind w:hanging="0" w:left="0"/>
        <w:jc w:val="left"/>
        <w:rPr/>
      </w:pPr>
      <w:r>
        <w:rPr/>
        <w:t>4.2 The Rooibos Tea Case: Domestic Appropriation and International Patents</w:t>
      </w:r>
    </w:p>
    <w:p>
      <w:pPr>
        <w:pStyle w:val="Normal"/>
        <w:bidi w:val="0"/>
        <w:spacing w:before="0" w:after="240"/>
        <w:jc w:val="left"/>
        <w:rPr/>
      </w:pPr>
      <w:r>
        <w:rPr/>
        <w:t>Rooibos (</w:t>
      </w:r>
      <w:r>
        <w:rPr>
          <w:i/>
          <w:iCs/>
        </w:rPr>
        <w:t>Aspalathus linearis</w:t>
      </w:r>
      <w:r>
        <w:rPr/>
        <w:t>), another indigenous South African plant with centuries of traditional use, presents a different biopiracy paradigm -- one involving both international and domestic actors.</w:t>
      </w:r>
    </w:p>
    <w:p>
      <w:pPr>
        <w:pStyle w:val="Normal"/>
        <w:bidi w:val="0"/>
        <w:spacing w:before="0" w:after="240"/>
        <w:jc w:val="left"/>
        <w:rPr/>
      </w:pPr>
      <w:r>
        <w:rPr>
          <w:rStyle w:val="Strong"/>
        </w:rPr>
        <w:t>1993/1994 US Trademark:</w:t>
      </w:r>
      <w:r>
        <w:rPr/>
        <w:t xml:space="preserve"> In 1993, Dr. Theron filed a trademark application for the word "Rooibos" with the US Patent and Trademark Office (USPTO) through her company, Forever Young. The story broke in 2000 when I published an article in the Cape Times detailing the trademark and patent applications related to nutraceatical and beauty products involving a company called Annique.</w:t>
      </w:r>
    </w:p>
    <w:p>
      <w:pPr>
        <w:pStyle w:val="Normal"/>
        <w:bidi w:val="0"/>
        <w:spacing w:before="0" w:after="240"/>
        <w:jc w:val="left"/>
        <w:rPr/>
      </w:pPr>
      <w:r>
        <w:rPr>
          <w:rStyle w:val="Strong"/>
        </w:rPr>
        <w:t>Cancellation of Trademark:</w:t>
      </w:r>
      <w:r>
        <w:rPr/>
        <w:t xml:space="preserve"> Due to legal action by Rooibos Limited (a South African company) and other entities, the US trademark was considered invalid because "Rooibos" was found to be a generic term (like "tea" or "orange"). The matter was settled out of court in 2005, and the name "Rooibos" was surrendered to the public domain in the US.</w:t>
      </w:r>
    </w:p>
    <w:p>
      <w:pPr>
        <w:pStyle w:val="Normal"/>
        <w:bidi w:val="0"/>
        <w:spacing w:before="0" w:after="240"/>
        <w:jc w:val="left"/>
        <w:rPr/>
      </w:pPr>
      <w:r>
        <w:rPr/>
        <w:t xml:space="preserve">In May 2021, the European Union awarded Rooibos </w:t>
      </w:r>
      <w:r>
        <w:rPr>
          <w:rStyle w:val="Strong"/>
        </w:rPr>
        <w:t>Protected Designation of Origin</w:t>
      </w:r>
      <w:r>
        <w:rPr/>
        <w:t xml:space="preserve"> status, the first African food to achieve this distinction. This ensures that only 100% pure rooibos cultivated in the Western and Northern Cape region of South Africa can be marketed as "rooibos" within the EU.</w:t>
      </w:r>
    </w:p>
    <w:p>
      <w:pPr>
        <w:pStyle w:val="BodyText"/>
        <w:bidi w:val="0"/>
        <w:spacing w:before="0" w:after="240"/>
        <w:jc w:val="left"/>
        <w:rPr/>
      </w:pPr>
      <w:r>
        <w:rPr>
          <w:rStyle w:val="Strong"/>
        </w:rPr>
        <w:t>Nestlé Patent Challenges (2010):</w:t>
      </w:r>
      <w:r>
        <w:rPr/>
        <w:t xml:space="preserve"> Nestec (a subsidiary of Nestlé) filed five patent applications in January 2010 regarding the use of Rooibos and Honeybush in hair and skin products. These were heavily criticized as "biopiracy" because they sought to patent traditional knowledge without a benefit-sharing agreement with the Khoi and San communities, as required by South African law. The patents were not granted, as the company failed to obtain necessary permits.</w:t>
      </w:r>
    </w:p>
    <w:p>
      <w:pPr>
        <w:pStyle w:val="Normal"/>
        <w:bidi w:val="0"/>
        <w:spacing w:before="0" w:after="240"/>
        <w:jc w:val="left"/>
        <w:rPr/>
      </w:pPr>
      <w:r>
        <w:rPr/>
      </w:r>
    </w:p>
    <w:p>
      <w:pPr>
        <w:pStyle w:val="ListParagraph"/>
        <w:numPr>
          <w:ilvl w:val="0"/>
          <w:numId w:val="109"/>
        </w:numPr>
        <w:bidi w:val="0"/>
        <w:jc w:val="left"/>
        <w:rPr/>
      </w:pPr>
      <w:r>
        <w:rPr/>
        <w:t>The plant and its traditional preparation methods originated with Khoi communities</w:t>
      </w:r>
    </w:p>
    <w:p>
      <w:pPr>
        <w:pStyle w:val="ListParagraph"/>
        <w:numPr>
          <w:ilvl w:val="0"/>
          <w:numId w:val="110"/>
        </w:numPr>
        <w:bidi w:val="0"/>
        <w:jc w:val="left"/>
        <w:rPr/>
      </w:pPr>
      <w:r>
        <w:rPr/>
        <w:t>The term 'Rooibos' is an Afrikaans word derived from indigenous linguistic traditions</w:t>
      </w:r>
    </w:p>
    <w:p>
      <w:pPr>
        <w:pStyle w:val="ListParagraph"/>
        <w:numPr>
          <w:ilvl w:val="0"/>
          <w:numId w:val="0"/>
        </w:numPr>
        <w:bidi w:val="0"/>
        <w:ind w:hanging="0" w:left="720"/>
        <w:jc w:val="left"/>
        <w:rPr/>
      </w:pPr>
      <w:r>
        <w:rPr/>
      </w:r>
    </w:p>
    <w:p>
      <w:pPr>
        <w:pStyle w:val="ListParagraph"/>
        <w:numPr>
          <w:ilvl w:val="0"/>
          <w:numId w:val="111"/>
        </w:numPr>
        <w:bidi w:val="0"/>
        <w:jc w:val="left"/>
        <w:rPr/>
      </w:pPr>
      <w:r>
        <w:rPr/>
        <w:t>The trademark potentially restricted other South African producers from using culturally significant terminology</w:t>
      </w:r>
    </w:p>
    <w:p>
      <w:pPr>
        <w:pStyle w:val="ListParagraph"/>
        <w:numPr>
          <w:ilvl w:val="0"/>
          <w:numId w:val="0"/>
        </w:numPr>
        <w:bidi w:val="0"/>
        <w:ind w:hanging="0" w:left="720"/>
        <w:jc w:val="left"/>
        <w:rPr/>
      </w:pPr>
      <w:r>
        <w:rPr/>
      </w:r>
    </w:p>
    <w:p>
      <w:pPr>
        <w:pStyle w:val="ListParagraph"/>
        <w:numPr>
          <w:ilvl w:val="0"/>
          <w:numId w:val="112"/>
        </w:numPr>
        <w:bidi w:val="0"/>
        <w:spacing w:before="0" w:after="240"/>
        <w:jc w:val="left"/>
        <w:rPr/>
      </w:pPr>
      <w:r>
        <w:rPr/>
        <w:t>Indigenous knowledge holders received no compensation or consultation</w:t>
      </w:r>
    </w:p>
    <w:p>
      <w:pPr>
        <w:pStyle w:val="Normal"/>
        <w:bidi w:val="0"/>
        <w:spacing w:before="0" w:after="240"/>
        <w:jc w:val="left"/>
        <w:rPr/>
      </w:pPr>
      <w:r>
        <w:rPr/>
        <w:t>After sustained advocacy by the South African Rooibos Council and international pressure, both trademark and patent cases was eventually challenged and cancelled. However, the case illustrated that biopiracy threats can emanate not only from foreign entities but also from domestic commercial actors who commodify traditional knowledge without community consent or benefit-sharing.</w:t>
      </w:r>
    </w:p>
    <w:p>
      <w:pPr>
        <w:pStyle w:val="Normal"/>
        <w:bidi w:val="0"/>
        <w:spacing w:before="0" w:after="240"/>
        <w:jc w:val="left"/>
        <w:rPr/>
      </w:pPr>
      <w:r>
        <w:rPr/>
        <w:t>Unlike the Hoodia case -- which resulted in tangible benefit-sharing agreements that directed resources to indigenous communities -- the Rooibos controversy primarily involved commercial disputes between South African industry stakeholders, with minimal direct benefit accruing to indigenous knowledge holders whose ancestors cultivated and transmitted knowledge about the plant.</w:t>
      </w:r>
    </w:p>
    <w:p>
      <w:pPr>
        <w:pStyle w:val="Heading1"/>
        <w:numPr>
          <w:ilvl w:val="0"/>
          <w:numId w:val="0"/>
        </w:numPr>
        <w:bidi w:val="0"/>
        <w:spacing w:before="240" w:after="240"/>
        <w:ind w:hanging="0" w:left="0"/>
        <w:jc w:val="left"/>
        <w:rPr/>
      </w:pPr>
      <w:r>
        <w:rPr/>
        <w:t>5. Legal and Ethical Framework</w:t>
      </w:r>
    </w:p>
    <w:p>
      <w:pPr>
        <w:pStyle w:val="Heading2"/>
        <w:numPr>
          <w:ilvl w:val="0"/>
          <w:numId w:val="0"/>
        </w:numPr>
        <w:bidi w:val="0"/>
        <w:spacing w:before="180" w:after="180"/>
        <w:ind w:hanging="0" w:left="0"/>
        <w:jc w:val="left"/>
        <w:rPr/>
      </w:pPr>
      <w:r>
        <w:rPr/>
        <w:t>5.1 International Legal Instruments</w:t>
      </w:r>
    </w:p>
    <w:p>
      <w:pPr>
        <w:pStyle w:val="Normal"/>
        <w:bidi w:val="0"/>
        <w:spacing w:before="0" w:after="240"/>
        <w:jc w:val="left"/>
        <w:rPr/>
      </w:pPr>
      <w:r>
        <w:rPr/>
        <w:t>Several international agreements attempt to address the protection of traditional knowledge and equitable benefit-sharing:</w:t>
      </w:r>
    </w:p>
    <w:p>
      <w:pPr>
        <w:pStyle w:val="ListParagraph"/>
        <w:numPr>
          <w:ilvl w:val="0"/>
          <w:numId w:val="113"/>
        </w:numPr>
        <w:bidi w:val="0"/>
        <w:jc w:val="left"/>
        <w:rPr/>
      </w:pPr>
      <w:r>
        <w:rPr/>
        <w:t>Convention on Biological Diversity (CBD, 1992): Establishes sovereign rights over biological resources and requires prior informed consent for access</w:t>
      </w:r>
    </w:p>
    <w:p>
      <w:pPr>
        <w:pStyle w:val="ListParagraph"/>
        <w:numPr>
          <w:ilvl w:val="0"/>
          <w:numId w:val="114"/>
        </w:numPr>
        <w:bidi w:val="0"/>
        <w:jc w:val="left"/>
        <w:rPr/>
      </w:pPr>
      <w:r>
        <w:rPr/>
        <w:t>Nagoya Protocol (2014): Operationalizes CBD principles through Access and Benefit-Sharing (ABS) mechanisms</w:t>
      </w:r>
    </w:p>
    <w:p>
      <w:pPr>
        <w:pStyle w:val="ListParagraph"/>
        <w:numPr>
          <w:ilvl w:val="0"/>
          <w:numId w:val="115"/>
        </w:numPr>
        <w:bidi w:val="0"/>
        <w:jc w:val="left"/>
        <w:rPr/>
      </w:pPr>
      <w:r>
        <w:rPr/>
        <w:t>UN Declaration on the Rights of Indigenous Peoples (2007): Affirms indigenous peoples' rights to maintain and control their traditional knowledge</w:t>
      </w:r>
    </w:p>
    <w:p>
      <w:pPr>
        <w:pStyle w:val="ListParagraph"/>
        <w:numPr>
          <w:ilvl w:val="0"/>
          <w:numId w:val="116"/>
        </w:numPr>
        <w:bidi w:val="0"/>
        <w:spacing w:before="0" w:after="240"/>
        <w:jc w:val="left"/>
        <w:rPr/>
      </w:pPr>
      <w:r>
        <w:rPr/>
        <w:t>WIPO Intergovernmental Committee on Intellectual Property and Genetic Resources, Traditional Knowledge and Folklore: Ongoing negotiations toward a binding international instrument</w:t>
      </w:r>
    </w:p>
    <w:p>
      <w:pPr>
        <w:pStyle w:val="Normal"/>
        <w:bidi w:val="0"/>
        <w:spacing w:before="0" w:after="240"/>
        <w:jc w:val="left"/>
        <w:rPr/>
      </w:pPr>
      <w:r>
        <w:rPr/>
        <w:t>Despite these frameworks, significant enforcement gaps persist. Patent offices in major jurisdictions (United States, European Union, China) do not systematically require disclosure of traditional knowledge sources, nor do they routinely search indigenous knowledge databases when assessing novelty and inventive step.</w:t>
      </w:r>
    </w:p>
    <w:p>
      <w:pPr>
        <w:pStyle w:val="Heading2"/>
        <w:numPr>
          <w:ilvl w:val="0"/>
          <w:numId w:val="0"/>
        </w:numPr>
        <w:bidi w:val="0"/>
        <w:spacing w:before="180" w:after="180"/>
        <w:ind w:hanging="0" w:left="0"/>
        <w:jc w:val="left"/>
        <w:rPr/>
      </w:pPr>
      <w:r>
        <w:rPr/>
        <w:t>5.2 South African Domestic Framework</w:t>
      </w:r>
    </w:p>
    <w:p>
      <w:pPr>
        <w:pStyle w:val="Normal"/>
        <w:bidi w:val="0"/>
        <w:spacing w:before="0" w:after="240"/>
        <w:jc w:val="left"/>
        <w:rPr/>
      </w:pPr>
      <w:r>
        <w:rPr/>
        <w:t>South Africa has implemented several legislative measures to protect indigenous knowledge and regulate bioprospecting:</w:t>
      </w:r>
    </w:p>
    <w:p>
      <w:pPr>
        <w:pStyle w:val="ListParagraph"/>
        <w:numPr>
          <w:ilvl w:val="0"/>
          <w:numId w:val="117"/>
        </w:numPr>
        <w:bidi w:val="0"/>
        <w:jc w:val="left"/>
        <w:rPr/>
      </w:pPr>
      <w:r>
        <w:rPr/>
        <w:t>National Environmental Management: Biodiversity Act (NEMBA, 2004): Regulates bioprospecting and requires benefit-sharing agreements</w:t>
      </w:r>
    </w:p>
    <w:p>
      <w:pPr>
        <w:pStyle w:val="ListParagraph"/>
        <w:numPr>
          <w:ilvl w:val="0"/>
          <w:numId w:val="118"/>
        </w:numPr>
        <w:bidi w:val="0"/>
        <w:jc w:val="left"/>
        <w:rPr/>
      </w:pPr>
      <w:r>
        <w:rPr/>
        <w:t>Bioprospecting, Access and Benefit-Sharing Regulations (2008): Establishes permit requirements and benefit-sharing mechanisms</w:t>
      </w:r>
    </w:p>
    <w:p>
      <w:pPr>
        <w:pStyle w:val="ListParagraph"/>
        <w:numPr>
          <w:ilvl w:val="0"/>
          <w:numId w:val="119"/>
        </w:numPr>
        <w:bidi w:val="0"/>
        <w:spacing w:before="0" w:after="240"/>
        <w:jc w:val="left"/>
        <w:rPr/>
      </w:pPr>
      <w:r>
        <w:rPr/>
        <w:t>Protection, Promotion, Development and Management of Indigenous Knowledge Act (draft): Proposes sui generis protection for traditional knowledge</w:t>
      </w:r>
    </w:p>
    <w:p>
      <w:pPr>
        <w:pStyle w:val="Normal"/>
        <w:bidi w:val="0"/>
        <w:spacing w:before="0" w:after="240"/>
        <w:jc w:val="left"/>
        <w:rPr/>
      </w:pPr>
      <w:r>
        <w:rPr/>
        <w:t>While these frameworks represent significant progress, challenges remain in implementation, enforcement, and ensuring that marginalized indigenous communities can meaningfully participate in regulatory processes.</w:t>
      </w:r>
    </w:p>
    <w:p>
      <w:pPr>
        <w:pStyle w:val="Heading1"/>
        <w:numPr>
          <w:ilvl w:val="0"/>
          <w:numId w:val="0"/>
        </w:numPr>
        <w:bidi w:val="0"/>
        <w:spacing w:before="240" w:after="240"/>
        <w:ind w:hanging="0" w:left="0"/>
        <w:jc w:val="left"/>
        <w:rPr/>
      </w:pPr>
      <w:r>
        <w:rPr/>
        <w:t>6. Position and Policy Recommendations</w:t>
      </w:r>
    </w:p>
    <w:p>
      <w:pPr>
        <w:pStyle w:val="Normal"/>
        <w:bidi w:val="0"/>
        <w:spacing w:before="0" w:after="240"/>
        <w:jc w:val="left"/>
        <w:rPr/>
      </w:pPr>
      <w:r>
        <w:rPr/>
        <w:t>Based on analysis of the Common Sour Fig patent landscape and lessons from the Hoodia and Rooibos cases, this paper advances the following position and recommendations:</w:t>
      </w:r>
    </w:p>
    <w:p>
      <w:pPr>
        <w:pStyle w:val="Heading2"/>
        <w:numPr>
          <w:ilvl w:val="0"/>
          <w:numId w:val="0"/>
        </w:numPr>
        <w:bidi w:val="0"/>
        <w:spacing w:before="180" w:after="180"/>
        <w:ind w:hanging="0" w:left="0"/>
        <w:jc w:val="left"/>
        <w:rPr/>
      </w:pPr>
      <w:r>
        <w:rPr/>
        <w:t>6.1 Core Position</w:t>
      </w:r>
    </w:p>
    <w:p>
      <w:pPr>
        <w:pStyle w:val="Normal"/>
        <w:bidi w:val="0"/>
        <w:spacing w:before="0" w:after="240"/>
        <w:jc w:val="left"/>
        <w:rPr/>
      </w:pPr>
      <w:r>
        <w:rPr/>
        <w:t xml:space="preserve">Patents claiming innovations derived from </w:t>
      </w:r>
      <w:r>
        <w:rPr>
          <w:i/>
          <w:iCs/>
        </w:rPr>
        <w:t>Carpobrotus edulis</w:t>
      </w:r>
      <w:r>
        <w:rPr/>
        <w:t xml:space="preserve"> that draw upon indigenous traditional knowledge -- whether explicitly or implicitly -- carry an ethical obligation to:</w:t>
      </w:r>
    </w:p>
    <w:p>
      <w:pPr>
        <w:pStyle w:val="ListParagraph"/>
        <w:numPr>
          <w:ilvl w:val="0"/>
          <w:numId w:val="120"/>
        </w:numPr>
        <w:bidi w:val="0"/>
        <w:jc w:val="left"/>
        <w:rPr/>
      </w:pPr>
      <w:r>
        <w:rPr/>
        <w:t>Disclose the traditional knowledge basis of the claimed invention</w:t>
      </w:r>
    </w:p>
    <w:p>
      <w:pPr>
        <w:pStyle w:val="ListParagraph"/>
        <w:numPr>
          <w:ilvl w:val="0"/>
          <w:numId w:val="121"/>
        </w:numPr>
        <w:bidi w:val="0"/>
        <w:jc w:val="left"/>
        <w:rPr/>
      </w:pPr>
      <w:r>
        <w:rPr/>
        <w:t>Demonstrate prior informed consent from relevant indigenous communities</w:t>
      </w:r>
    </w:p>
    <w:p>
      <w:pPr>
        <w:pStyle w:val="ListParagraph"/>
        <w:numPr>
          <w:ilvl w:val="0"/>
          <w:numId w:val="122"/>
        </w:numPr>
        <w:bidi w:val="0"/>
        <w:spacing w:before="0" w:after="240"/>
        <w:jc w:val="left"/>
        <w:rPr/>
      </w:pPr>
      <w:r>
        <w:rPr/>
        <w:t>Establish equitable benefit-sharing agreements that provide tangible resources to knowledge-holding communities</w:t>
      </w:r>
    </w:p>
    <w:p>
      <w:pPr>
        <w:pStyle w:val="Normal"/>
        <w:bidi w:val="0"/>
        <w:spacing w:before="0" w:after="240"/>
        <w:jc w:val="left"/>
        <w:rPr/>
      </w:pPr>
      <w:r>
        <w:rPr/>
        <w:t>Failure to meet these obligations constitutes biopiracy and should result in patent invalidation, regardless of technical novelty.</w:t>
      </w:r>
    </w:p>
    <w:p>
      <w:pPr>
        <w:pStyle w:val="Heading2"/>
        <w:numPr>
          <w:ilvl w:val="0"/>
          <w:numId w:val="0"/>
        </w:numPr>
        <w:bidi w:val="0"/>
        <w:spacing w:before="180" w:after="180"/>
        <w:ind w:hanging="0" w:left="0"/>
        <w:jc w:val="left"/>
        <w:rPr/>
      </w:pPr>
      <w:r>
        <w:rPr/>
        <w:t>6.2 Recommendations for Patent Examination Procedures</w:t>
      </w:r>
    </w:p>
    <w:p>
      <w:pPr>
        <w:pStyle w:val="ListParagraph"/>
        <w:numPr>
          <w:ilvl w:val="0"/>
          <w:numId w:val="123"/>
        </w:numPr>
        <w:bidi w:val="0"/>
        <w:jc w:val="left"/>
        <w:rPr/>
      </w:pPr>
      <w:r>
        <w:rPr/>
        <w:t>Mandatory disclosure requirements: Patent applications should be required to disclose any traditional knowledge or biological resources used in the invention's development, including the geographic origin and indigenous communities involved</w:t>
      </w:r>
    </w:p>
    <w:p>
      <w:pPr>
        <w:pStyle w:val="ListParagraph"/>
        <w:numPr>
          <w:ilvl w:val="0"/>
          <w:numId w:val="0"/>
        </w:numPr>
        <w:bidi w:val="0"/>
        <w:ind w:hanging="0" w:left="720"/>
        <w:jc w:val="left"/>
        <w:rPr/>
      </w:pPr>
      <w:r>
        <w:rPr/>
      </w:r>
    </w:p>
    <w:p>
      <w:pPr>
        <w:pStyle w:val="ListParagraph"/>
        <w:numPr>
          <w:ilvl w:val="0"/>
          <w:numId w:val="124"/>
        </w:numPr>
        <w:bidi w:val="0"/>
        <w:jc w:val="left"/>
        <w:rPr/>
      </w:pPr>
      <w:r>
        <w:rPr/>
        <w:t xml:space="preserve">Enhanced prior art searches: Patent examiners should consult traditional knowledge databases such as </w:t>
      </w:r>
      <w:r>
        <w:rPr>
          <w:rFonts w:ascii="arial;helvetica;sans-serif" w:hAnsi="arial;helvetica;sans-serif"/>
          <w:sz w:val="24"/>
        </w:rPr>
        <w:t xml:space="preserve">Indigenous Knowledge Registration System (IKRS),the </w:t>
      </w:r>
      <w:hyperlink r:id="rId2">
        <w:r>
          <w:rPr>
            <w:rStyle w:val="Hyperlink"/>
            <w:rFonts w:ascii="arial;helvetica;sans-serif" w:hAnsi="arial;helvetica;sans-serif"/>
            <w:sz w:val="24"/>
          </w:rPr>
          <w:t>NIKMAS Pharmacopoea</w:t>
        </w:r>
      </w:hyperlink>
      <w:r>
        <w:rPr>
          <w:rFonts w:ascii="arial;helvetica;sans-serif" w:hAnsi="arial;helvetica;sans-serif"/>
          <w:sz w:val="24"/>
        </w:rPr>
        <w:t xml:space="preserve">, </w:t>
      </w:r>
      <w:r>
        <w:rPr/>
        <w:t>Traditional Knowledge Digital Library, and ethnobotanical literature when assessing novelty</w:t>
      </w:r>
    </w:p>
    <w:p>
      <w:pPr>
        <w:pStyle w:val="ListParagraph"/>
        <w:numPr>
          <w:ilvl w:val="0"/>
          <w:numId w:val="0"/>
        </w:numPr>
        <w:bidi w:val="0"/>
        <w:ind w:hanging="0" w:left="720"/>
        <w:jc w:val="left"/>
        <w:rPr/>
      </w:pPr>
      <w:r>
        <w:rPr/>
      </w:r>
    </w:p>
    <w:p>
      <w:pPr>
        <w:pStyle w:val="ListParagraph"/>
        <w:numPr>
          <w:ilvl w:val="0"/>
          <w:numId w:val="125"/>
        </w:numPr>
        <w:bidi w:val="0"/>
        <w:jc w:val="left"/>
        <w:rPr/>
      </w:pPr>
      <w:r>
        <w:rPr/>
        <w:t>Establish independent digital databases from National databases that can act as independent verifiers, tied to local, regional communities and their unique concerns.</w:t>
      </w:r>
    </w:p>
    <w:p>
      <w:pPr>
        <w:pStyle w:val="ListParagraph"/>
        <w:bidi w:val="0"/>
        <w:jc w:val="left"/>
        <w:rPr/>
      </w:pPr>
      <w:r>
        <w:rPr/>
      </w:r>
    </w:p>
    <w:p>
      <w:pPr>
        <w:pStyle w:val="ListParagraph"/>
        <w:numPr>
          <w:ilvl w:val="0"/>
          <w:numId w:val="126"/>
        </w:numPr>
        <w:bidi w:val="0"/>
        <w:jc w:val="left"/>
        <w:rPr/>
      </w:pPr>
      <w:r>
        <w:rPr/>
        <w:t>Community consultation mechanisms: Patent offices should establish formal channels for indigenous communities to submit observations or oppositions during examination. A lot more needs to be done to make patent applications publically available and open to scrutiny.</w:t>
      </w:r>
    </w:p>
    <w:p>
      <w:pPr>
        <w:pStyle w:val="ListParagraph"/>
        <w:numPr>
          <w:ilvl w:val="0"/>
          <w:numId w:val="0"/>
        </w:numPr>
        <w:bidi w:val="0"/>
        <w:ind w:hanging="0" w:left="720"/>
        <w:jc w:val="left"/>
        <w:rPr/>
      </w:pPr>
      <w:r>
        <w:rPr/>
      </w:r>
    </w:p>
    <w:p>
      <w:pPr>
        <w:pStyle w:val="ListParagraph"/>
        <w:numPr>
          <w:ilvl w:val="0"/>
          <w:numId w:val="127"/>
        </w:numPr>
        <w:bidi w:val="0"/>
        <w:spacing w:before="0" w:after="240"/>
        <w:jc w:val="left"/>
        <w:rPr/>
      </w:pPr>
      <w:r>
        <w:rPr/>
        <w:t>Harmonized international standards: Global coordination on traditional knowledge disclosure requirements through WIPO and regional patent offices</w:t>
      </w:r>
    </w:p>
    <w:p>
      <w:pPr>
        <w:pStyle w:val="Heading2"/>
        <w:numPr>
          <w:ilvl w:val="0"/>
          <w:numId w:val="0"/>
        </w:numPr>
        <w:bidi w:val="0"/>
        <w:spacing w:before="180" w:after="180"/>
        <w:ind w:hanging="0" w:left="0"/>
        <w:jc w:val="left"/>
        <w:rPr/>
      </w:pPr>
      <w:r>
        <w:rPr/>
        <w:t>6.3 Recommendations for Benefit-Sharing Frameworks</w:t>
      </w:r>
    </w:p>
    <w:p>
      <w:pPr>
        <w:pStyle w:val="ListParagraph"/>
        <w:numPr>
          <w:ilvl w:val="0"/>
          <w:numId w:val="128"/>
        </w:numPr>
        <w:bidi w:val="0"/>
        <w:jc w:val="left"/>
        <w:rPr/>
      </w:pPr>
      <w:r>
        <w:rPr/>
        <w:t>Community-centered negotiation: Benefit-sharing agreements should be negotiated directly with indigenous communities, supported by independent legal representation and technical expertise</w:t>
      </w:r>
    </w:p>
    <w:p>
      <w:pPr>
        <w:pStyle w:val="ListParagraph"/>
        <w:numPr>
          <w:ilvl w:val="0"/>
          <w:numId w:val="0"/>
        </w:numPr>
        <w:bidi w:val="0"/>
        <w:ind w:hanging="0" w:left="720"/>
        <w:jc w:val="left"/>
        <w:rPr/>
      </w:pPr>
      <w:r>
        <w:rPr/>
      </w:r>
    </w:p>
    <w:p>
      <w:pPr>
        <w:pStyle w:val="ListParagraph"/>
        <w:numPr>
          <w:ilvl w:val="0"/>
          <w:numId w:val="129"/>
        </w:numPr>
        <w:bidi w:val="0"/>
        <w:jc w:val="left"/>
        <w:rPr/>
      </w:pPr>
      <w:r>
        <w:rPr/>
        <w:t>Transparent financial arrangements: Clear disclosure of royalty rates, milestone payments, and revenue-sharing percentages</w:t>
      </w:r>
    </w:p>
    <w:p>
      <w:pPr>
        <w:pStyle w:val="ListParagraph"/>
        <w:numPr>
          <w:ilvl w:val="0"/>
          <w:numId w:val="0"/>
        </w:numPr>
        <w:bidi w:val="0"/>
        <w:ind w:hanging="0" w:left="720"/>
        <w:jc w:val="left"/>
        <w:rPr/>
      </w:pPr>
      <w:r>
        <w:rPr/>
      </w:r>
    </w:p>
    <w:p>
      <w:pPr>
        <w:pStyle w:val="ListParagraph"/>
        <w:numPr>
          <w:ilvl w:val="0"/>
          <w:numId w:val="130"/>
        </w:numPr>
        <w:bidi w:val="0"/>
        <w:jc w:val="left"/>
        <w:rPr/>
      </w:pPr>
      <w:r>
        <w:rPr/>
        <w:t>Non-monetary benefits: Support for community development initiatives, educational programs, healthcare infrastructure, and cultural preservation projects</w:t>
      </w:r>
    </w:p>
    <w:p>
      <w:pPr>
        <w:pStyle w:val="ListParagraph"/>
        <w:numPr>
          <w:ilvl w:val="0"/>
          <w:numId w:val="0"/>
        </w:numPr>
        <w:bidi w:val="0"/>
        <w:ind w:hanging="0" w:left="720"/>
        <w:jc w:val="left"/>
        <w:rPr/>
      </w:pPr>
      <w:r>
        <w:rPr/>
      </w:r>
    </w:p>
    <w:p>
      <w:pPr>
        <w:pStyle w:val="ListParagraph"/>
        <w:numPr>
          <w:ilvl w:val="0"/>
          <w:numId w:val="131"/>
        </w:numPr>
        <w:bidi w:val="0"/>
        <w:jc w:val="left"/>
        <w:rPr/>
      </w:pPr>
      <w:r>
        <w:rPr/>
        <w:t>Ongoing monitoring and compliance: Independent oversight mechanisms to ensure benefit-sharing commitments are honored throughout the patent's lifecycle</w:t>
      </w:r>
    </w:p>
    <w:p>
      <w:pPr>
        <w:pStyle w:val="ListParagraph"/>
        <w:numPr>
          <w:ilvl w:val="0"/>
          <w:numId w:val="0"/>
        </w:numPr>
        <w:bidi w:val="0"/>
        <w:ind w:hanging="0" w:left="720"/>
        <w:jc w:val="left"/>
        <w:rPr/>
      </w:pPr>
      <w:r>
        <w:rPr/>
      </w:r>
    </w:p>
    <w:p>
      <w:pPr>
        <w:pStyle w:val="ListParagraph"/>
        <w:numPr>
          <w:ilvl w:val="0"/>
          <w:numId w:val="132"/>
        </w:numPr>
        <w:bidi w:val="0"/>
        <w:spacing w:before="0" w:after="240"/>
        <w:jc w:val="left"/>
        <w:rPr/>
      </w:pPr>
      <w:r>
        <w:rPr/>
        <w:t>Collective funds: Establishment of trust funds or community foundations to manage and distribute benefits across multiple generations</w:t>
      </w:r>
    </w:p>
    <w:p>
      <w:pPr>
        <w:pStyle w:val="Heading2"/>
        <w:numPr>
          <w:ilvl w:val="0"/>
          <w:numId w:val="0"/>
        </w:numPr>
        <w:bidi w:val="0"/>
        <w:spacing w:before="180" w:after="180"/>
        <w:ind w:hanging="0" w:left="0"/>
        <w:jc w:val="left"/>
        <w:rPr/>
      </w:pPr>
      <w:r>
        <w:rPr/>
        <w:t>6.4 Recommendations for Research and Open Science</w:t>
      </w:r>
    </w:p>
    <w:p>
      <w:pPr>
        <w:pStyle w:val="ListParagraph"/>
        <w:numPr>
          <w:ilvl w:val="0"/>
          <w:numId w:val="133"/>
        </w:numPr>
        <w:bidi w:val="0"/>
        <w:jc w:val="left"/>
        <w:rPr/>
      </w:pPr>
      <w:r>
        <w:rPr/>
        <w:t>Ethical research protocols: Universities and research institutions should adopt mandatory ethics review for all projects involving indigenous knowledge or biological resources from indigenous territories</w:t>
      </w:r>
    </w:p>
    <w:p>
      <w:pPr>
        <w:pStyle w:val="ListParagraph"/>
        <w:numPr>
          <w:ilvl w:val="0"/>
          <w:numId w:val="0"/>
        </w:numPr>
        <w:bidi w:val="0"/>
        <w:ind w:hanging="0" w:left="720"/>
        <w:jc w:val="left"/>
        <w:rPr/>
      </w:pPr>
      <w:r>
        <w:rPr/>
      </w:r>
    </w:p>
    <w:p>
      <w:pPr>
        <w:pStyle w:val="ListParagraph"/>
        <w:numPr>
          <w:ilvl w:val="0"/>
          <w:numId w:val="134"/>
        </w:numPr>
        <w:bidi w:val="0"/>
        <w:jc w:val="left"/>
        <w:rPr/>
      </w:pPr>
      <w:r>
        <w:rPr/>
        <w:t>Co-creation methodologies: Research should be designed collaboratively with indigenous communities, recognizing them as equal knowledge partners rather than merely research subjects or informants</w:t>
      </w:r>
    </w:p>
    <w:p>
      <w:pPr>
        <w:pStyle w:val="ListParagraph"/>
        <w:numPr>
          <w:ilvl w:val="0"/>
          <w:numId w:val="0"/>
        </w:numPr>
        <w:bidi w:val="0"/>
        <w:ind w:hanging="0" w:left="720"/>
        <w:jc w:val="left"/>
        <w:rPr/>
      </w:pPr>
      <w:r>
        <w:rPr/>
      </w:r>
    </w:p>
    <w:p>
      <w:pPr>
        <w:pStyle w:val="ListParagraph"/>
        <w:numPr>
          <w:ilvl w:val="0"/>
          <w:numId w:val="135"/>
        </w:numPr>
        <w:bidi w:val="0"/>
        <w:jc w:val="left"/>
        <w:rPr/>
      </w:pPr>
      <w:r>
        <w:rPr/>
        <w:t>Open access with protections: Scientific publications should be openly accessible while including safeguards preventing direct commercial exploitation without community consent</w:t>
      </w:r>
    </w:p>
    <w:p>
      <w:pPr>
        <w:pStyle w:val="ListParagraph"/>
        <w:numPr>
          <w:ilvl w:val="0"/>
          <w:numId w:val="0"/>
        </w:numPr>
        <w:bidi w:val="0"/>
        <w:ind w:hanging="0" w:left="720"/>
        <w:jc w:val="left"/>
        <w:rPr/>
      </w:pPr>
      <w:r>
        <w:rPr/>
      </w:r>
    </w:p>
    <w:p>
      <w:pPr>
        <w:pStyle w:val="ListParagraph"/>
        <w:numPr>
          <w:ilvl w:val="0"/>
          <w:numId w:val="136"/>
        </w:numPr>
        <w:bidi w:val="0"/>
        <w:jc w:val="left"/>
        <w:rPr/>
      </w:pPr>
      <w:r>
        <w:rPr/>
        <w:t>Traditional knowledge databases: Support expansion and maintenance of defensive publication databases that document traditional knowledge to prevent inappropriate patenting that are independent of national government wherever possible to act as independent verification of the sovereign data.</w:t>
      </w:r>
    </w:p>
    <w:p>
      <w:pPr>
        <w:pStyle w:val="ListParagraph"/>
        <w:numPr>
          <w:ilvl w:val="0"/>
          <w:numId w:val="0"/>
        </w:numPr>
        <w:bidi w:val="0"/>
        <w:ind w:hanging="0" w:left="720"/>
        <w:jc w:val="left"/>
        <w:rPr/>
      </w:pPr>
      <w:r>
        <w:rPr/>
      </w:r>
    </w:p>
    <w:p>
      <w:pPr>
        <w:pStyle w:val="ListParagraph"/>
        <w:numPr>
          <w:ilvl w:val="0"/>
          <w:numId w:val="137"/>
        </w:numPr>
        <w:bidi w:val="0"/>
        <w:spacing w:before="0" w:after="240"/>
        <w:jc w:val="left"/>
        <w:rPr/>
      </w:pPr>
      <w:r>
        <w:rPr/>
        <w:t>Interdisciplinary integration: Recognition that indigenous knowledge documented in anthropology, ecology, agricultural sciences, and cultural studies is equally relevant to patent examination as biomedical research</w:t>
      </w:r>
    </w:p>
    <w:p>
      <w:pPr>
        <w:pStyle w:val="Heading2"/>
        <w:numPr>
          <w:ilvl w:val="0"/>
          <w:numId w:val="0"/>
        </w:numPr>
        <w:bidi w:val="0"/>
        <w:spacing w:before="180" w:after="180"/>
        <w:ind w:hanging="0" w:left="0"/>
        <w:jc w:val="left"/>
        <w:rPr/>
      </w:pPr>
      <w:r>
        <w:rPr/>
        <w:t>6.5 Recommendations for South African Policy</w:t>
      </w:r>
    </w:p>
    <w:p>
      <w:pPr>
        <w:pStyle w:val="ListParagraph"/>
        <w:numPr>
          <w:ilvl w:val="0"/>
          <w:numId w:val="138"/>
        </w:numPr>
        <w:bidi w:val="0"/>
        <w:jc w:val="left"/>
        <w:rPr/>
      </w:pPr>
      <w:r>
        <w:rPr/>
        <w:t>Strengthen bioprospecting enforcement: Increase resources for monitoring and prosecuting unauthorized bioprospecting activities</w:t>
      </w:r>
    </w:p>
    <w:p>
      <w:pPr>
        <w:pStyle w:val="ListParagraph"/>
        <w:numPr>
          <w:ilvl w:val="0"/>
          <w:numId w:val="0"/>
        </w:numPr>
        <w:bidi w:val="0"/>
        <w:ind w:hanging="0" w:left="720"/>
        <w:jc w:val="left"/>
        <w:rPr/>
      </w:pPr>
      <w:r>
        <w:rPr/>
      </w:r>
    </w:p>
    <w:p>
      <w:pPr>
        <w:pStyle w:val="ListParagraph"/>
        <w:numPr>
          <w:ilvl w:val="0"/>
          <w:numId w:val="139"/>
        </w:numPr>
        <w:bidi w:val="0"/>
        <w:jc w:val="left"/>
        <w:rPr/>
      </w:pPr>
      <w:r>
        <w:rPr/>
        <w:t>Defensive patenting strategy: Support indigenous communities and South African institutions in filing defensive patents to prevent foreign appropriation</w:t>
      </w:r>
    </w:p>
    <w:p>
      <w:pPr>
        <w:pStyle w:val="ListParagraph"/>
        <w:numPr>
          <w:ilvl w:val="0"/>
          <w:numId w:val="0"/>
        </w:numPr>
        <w:bidi w:val="0"/>
        <w:ind w:hanging="0" w:left="720"/>
        <w:jc w:val="left"/>
        <w:rPr/>
      </w:pPr>
      <w:r>
        <w:rPr/>
      </w:r>
    </w:p>
    <w:p>
      <w:pPr>
        <w:pStyle w:val="ListParagraph"/>
        <w:numPr>
          <w:ilvl w:val="0"/>
          <w:numId w:val="140"/>
        </w:numPr>
        <w:bidi w:val="0"/>
        <w:jc w:val="left"/>
        <w:rPr/>
      </w:pPr>
      <w:r>
        <w:rPr/>
        <w:t>Capacity building: Invest in intellectual property education and legal support services for indigenous communities</w:t>
      </w:r>
    </w:p>
    <w:p>
      <w:pPr>
        <w:pStyle w:val="ListParagraph"/>
        <w:numPr>
          <w:ilvl w:val="0"/>
          <w:numId w:val="0"/>
        </w:numPr>
        <w:bidi w:val="0"/>
        <w:ind w:hanging="0" w:left="720"/>
        <w:jc w:val="left"/>
        <w:rPr/>
      </w:pPr>
      <w:r>
        <w:rPr/>
      </w:r>
    </w:p>
    <w:p>
      <w:pPr>
        <w:pStyle w:val="ListParagraph"/>
        <w:numPr>
          <w:ilvl w:val="0"/>
          <w:numId w:val="141"/>
        </w:numPr>
        <w:bidi w:val="0"/>
        <w:jc w:val="left"/>
        <w:rPr/>
      </w:pPr>
      <w:r>
        <w:rPr/>
        <w:t>International advocacy: Lead diplomatic efforts at WIPO and other international forums to establish binding traditional knowledge protections</w:t>
      </w:r>
    </w:p>
    <w:p>
      <w:pPr>
        <w:pStyle w:val="ListParagraph"/>
        <w:numPr>
          <w:ilvl w:val="0"/>
          <w:numId w:val="0"/>
        </w:numPr>
        <w:bidi w:val="0"/>
        <w:ind w:hanging="0" w:left="720"/>
        <w:jc w:val="left"/>
        <w:rPr/>
      </w:pPr>
      <w:r>
        <w:rPr/>
      </w:r>
    </w:p>
    <w:p>
      <w:pPr>
        <w:pStyle w:val="ListParagraph"/>
        <w:numPr>
          <w:ilvl w:val="0"/>
          <w:numId w:val="142"/>
        </w:numPr>
        <w:bidi w:val="0"/>
        <w:spacing w:before="0" w:after="240"/>
        <w:jc w:val="left"/>
        <w:rPr/>
      </w:pPr>
      <w:r>
        <w:rPr/>
        <w:t>Monitor foreign patents: Establish systems to track and challenge foreign patent applications that appropriate South African traditional knowledge</w:t>
      </w:r>
    </w:p>
    <w:p>
      <w:pPr>
        <w:pStyle w:val="Heading1"/>
        <w:numPr>
          <w:ilvl w:val="0"/>
          <w:numId w:val="0"/>
        </w:numPr>
        <w:bidi w:val="0"/>
        <w:spacing w:before="240" w:after="240"/>
        <w:ind w:hanging="0" w:left="0"/>
        <w:jc w:val="left"/>
        <w:rPr/>
      </w:pPr>
      <w:r>
        <w:rPr/>
        <w:t>7. Conclusion</w:t>
      </w:r>
    </w:p>
    <w:p>
      <w:pPr>
        <w:pStyle w:val="Normal"/>
        <w:bidi w:val="0"/>
        <w:spacing w:before="0" w:after="240"/>
        <w:jc w:val="left"/>
        <w:rPr/>
      </w:pPr>
      <w:r>
        <w:rPr/>
        <w:t>The evolving patent landscape surrounding Common Sour Fig stands at a critical juncture. The shift from European and Chinese dominance to increasing South African participation offers an opportunity to rewrite the narrative of biopiracy and establish more equitable frameworks for intellectual property and traditional knowledge.</w:t>
      </w:r>
    </w:p>
    <w:p>
      <w:pPr>
        <w:pStyle w:val="Normal"/>
        <w:bidi w:val="0"/>
        <w:spacing w:before="0" w:after="240"/>
        <w:jc w:val="left"/>
        <w:rPr/>
      </w:pPr>
      <w:r>
        <w:rPr/>
        <w:t>However, this transition will only be meaningful if accompanied by systemic reforms that center indigenous communities as knowledge holders deserving of recognition, respect, and fair compensation. The contrasting outcomes of the Hoodia and Rooibos cases demonstrate both the potential for benefit-sharing agreements to deliver tangible community benefits and the ongoing vulnerability of traditional knowledge to commercial appropriation.</w:t>
      </w:r>
    </w:p>
    <w:p>
      <w:pPr>
        <w:pStyle w:val="Normal"/>
        <w:bidi w:val="0"/>
        <w:spacing w:before="0" w:after="240"/>
        <w:jc w:val="left"/>
        <w:rPr/>
      </w:pPr>
      <w:r>
        <w:rPr/>
        <w:t>Ultimately, the question is not merely whether indigenous knowledge can be accommodated within existing intellectual property frameworks, but whether those frameworks must be fundamentally reimagined to honor epistemological traditions that predate and transcend Western notions of individual ownership and commodified innovation.</w:t>
      </w:r>
    </w:p>
    <w:p>
      <w:pPr>
        <w:pStyle w:val="Normal"/>
        <w:bidi w:val="0"/>
        <w:spacing w:before="0" w:after="240"/>
        <w:jc w:val="left"/>
        <w:rPr/>
      </w:pPr>
      <w:r>
        <w:rPr/>
        <w:t>The Common Sour Fig case offers an opportunity to move beyond reactive remedies and establish proactive, community-centered approaches that recognize indigenous peoples as the rightful stewards of knowledge systems cultivated over millennia. Only through such recognition can we achieve genuinely equitable and sustainable frameworks for innovation that honor both scientific advancement and cultural integrity.</w:t>
      </w:r>
    </w:p>
    <w:p>
      <w:pPr>
        <w:pStyle w:val="Heading1"/>
        <w:bidi w:val="0"/>
        <w:spacing w:before="480" w:after="240"/>
        <w:ind w:hanging="0" w:left="0"/>
        <w:jc w:val="left"/>
        <w:rPr/>
      </w:pPr>
      <w:r>
        <w:rPr/>
        <w:t>References and Further Reading</w:t>
      </w:r>
    </w:p>
    <w:p>
      <w:pPr>
        <w:pStyle w:val="Normal"/>
        <w:bidi w:val="0"/>
        <w:spacing w:before="0" w:after="120"/>
        <w:jc w:val="left"/>
        <w:rPr>
          <w:b/>
          <w:bCs/>
        </w:rPr>
      </w:pPr>
      <w:r>
        <w:rPr>
          <w:b/>
          <w:bCs/>
        </w:rPr>
        <w:t>International Legal Frameworks</w:t>
      </w:r>
    </w:p>
    <w:p>
      <w:pPr>
        <w:pStyle w:val="ListParagraph"/>
        <w:numPr>
          <w:ilvl w:val="0"/>
          <w:numId w:val="143"/>
        </w:numPr>
        <w:bidi w:val="0"/>
        <w:jc w:val="left"/>
        <w:rPr/>
      </w:pPr>
      <w:r>
        <w:rPr/>
        <w:t>Convention on Biological Diversity (1992)</w:t>
      </w:r>
    </w:p>
    <w:p>
      <w:pPr>
        <w:pStyle w:val="ListParagraph"/>
        <w:numPr>
          <w:ilvl w:val="0"/>
          <w:numId w:val="144"/>
        </w:numPr>
        <w:bidi w:val="0"/>
        <w:jc w:val="left"/>
        <w:rPr/>
      </w:pPr>
      <w:r>
        <w:rPr/>
        <w:t>Nagoya Protocol on Access to Genetic Resources and the Fair and Equitable Sharing of Benefits (2014)</w:t>
      </w:r>
    </w:p>
    <w:p>
      <w:pPr>
        <w:pStyle w:val="ListParagraph"/>
        <w:numPr>
          <w:ilvl w:val="0"/>
          <w:numId w:val="145"/>
        </w:numPr>
        <w:bidi w:val="0"/>
        <w:spacing w:before="0" w:after="240"/>
        <w:jc w:val="left"/>
        <w:rPr/>
      </w:pPr>
      <w:r>
        <w:rPr/>
        <w:t>United Nations Declaration on the Rights of Indigenous Peoples (2007)</w:t>
      </w:r>
    </w:p>
    <w:p>
      <w:pPr>
        <w:pStyle w:val="Normal"/>
        <w:bidi w:val="0"/>
        <w:spacing w:before="0" w:after="120"/>
        <w:jc w:val="left"/>
        <w:rPr>
          <w:b/>
          <w:bCs/>
        </w:rPr>
      </w:pPr>
      <w:r>
        <w:rPr>
          <w:b/>
          <w:bCs/>
        </w:rPr>
        <w:t>South African Legislation</w:t>
      </w:r>
    </w:p>
    <w:p>
      <w:pPr>
        <w:pStyle w:val="ListParagraph"/>
        <w:numPr>
          <w:ilvl w:val="0"/>
          <w:numId w:val="146"/>
        </w:numPr>
        <w:bidi w:val="0"/>
        <w:jc w:val="left"/>
        <w:rPr/>
      </w:pPr>
      <w:r>
        <w:rPr/>
        <w:t>National Environmental Management: Biodiversity Act (NEMBA) 10 of 2004</w:t>
      </w:r>
    </w:p>
    <w:p>
      <w:pPr>
        <w:pStyle w:val="ListParagraph"/>
        <w:numPr>
          <w:ilvl w:val="0"/>
          <w:numId w:val="147"/>
        </w:numPr>
        <w:bidi w:val="0"/>
        <w:spacing w:before="0" w:after="240"/>
        <w:jc w:val="left"/>
        <w:rPr/>
      </w:pPr>
      <w:r>
        <w:rPr/>
        <w:t>Bioprospecting, Access and Benefit-Sharing Regulations, 2008</w:t>
      </w:r>
    </w:p>
    <w:p>
      <w:pPr>
        <w:pStyle w:val="Normal"/>
        <w:bidi w:val="0"/>
        <w:spacing w:before="0" w:after="120"/>
        <w:jc w:val="left"/>
        <w:rPr>
          <w:b/>
          <w:bCs/>
        </w:rPr>
      </w:pPr>
      <w:r>
        <w:rPr>
          <w:b/>
          <w:bCs/>
        </w:rPr>
        <w:t>Case Studies and Reports</w:t>
      </w:r>
    </w:p>
    <w:p>
      <w:pPr>
        <w:pStyle w:val="ListParagraph"/>
        <w:numPr>
          <w:ilvl w:val="0"/>
          <w:numId w:val="148"/>
        </w:numPr>
        <w:bidi w:val="0"/>
        <w:jc w:val="left"/>
        <w:rPr/>
      </w:pPr>
      <w:hyperlink r:id="rId3">
        <w:r>
          <w:rPr>
            <w:rStyle w:val="Hyperlink"/>
          </w:rPr>
          <w:t>VJ Maharaja*, JV Senabea, RM Horakba, Hoodia, a case study at CSIR Biosciences</w:t>
        </w:r>
      </w:hyperlink>
    </w:p>
    <w:p>
      <w:pPr>
        <w:pStyle w:val="ListParagraph"/>
        <w:numPr>
          <w:ilvl w:val="0"/>
          <w:numId w:val="0"/>
        </w:numPr>
        <w:bidi w:val="0"/>
        <w:ind w:hanging="0" w:left="720"/>
        <w:jc w:val="left"/>
        <w:rPr/>
      </w:pPr>
      <w:r>
        <w:rPr/>
      </w:r>
    </w:p>
    <w:p>
      <w:pPr>
        <w:pStyle w:val="ListParagraph"/>
        <w:numPr>
          <w:ilvl w:val="0"/>
          <w:numId w:val="149"/>
        </w:numPr>
        <w:bidi w:val="0"/>
        <w:spacing w:before="0" w:after="240"/>
        <w:jc w:val="left"/>
        <w:rPr/>
      </w:pPr>
      <w:hyperlink r:id="rId4">
        <w:r>
          <w:rPr>
            <w:rStyle w:val="Hyperlink"/>
          </w:rPr>
          <w:t>WIPO Intergovernmental Committee on Intellectual Property and Genetic Resources, Traditional Knowledge and Folklore: Working documents and draft international instruments</w:t>
        </w:r>
      </w:hyperlink>
    </w:p>
    <w:p>
      <w:pPr>
        <w:pStyle w:val="Normal"/>
        <w:numPr>
          <w:ilvl w:val="0"/>
          <w:numId w:val="150"/>
        </w:numPr>
        <w:bidi w:val="0"/>
        <w:jc w:val="left"/>
        <w:rPr/>
      </w:pPr>
      <w:hyperlink r:id="rId5">
        <w:r>
          <w:rPr>
            <w:rStyle w:val="Hyperlink"/>
          </w:rPr>
          <w:t>Rooibos Robbery: Nestlé accused of biopirating South African genetic resources</w:t>
        </w:r>
      </w:hyperlink>
    </w:p>
    <w:p>
      <w:pPr>
        <w:pStyle w:val="ListParagraph"/>
        <w:bidi w:val="0"/>
        <w:jc w:val="left"/>
        <w:rPr/>
      </w:pPr>
      <w:r>
        <w:rPr/>
      </w:r>
    </w:p>
    <w:p>
      <w:pPr>
        <w:pStyle w:val="ListParagraph"/>
        <w:bidi w:val="0"/>
        <w:jc w:val="left"/>
        <w:rPr/>
      </w:pPr>
      <w:r>
        <w:rPr/>
      </w:r>
    </w:p>
    <w:p>
      <w:pPr>
        <w:pStyle w:val="Normal"/>
        <w:bidi w:val="0"/>
        <w:spacing w:before="0" w:after="120"/>
        <w:jc w:val="left"/>
        <w:rPr>
          <w:b/>
          <w:bCs/>
        </w:rPr>
      </w:pPr>
      <w:r>
        <w:rPr>
          <w:b/>
          <w:bCs/>
        </w:rPr>
        <w:t>Ethnobotanical Studies Documenting Indigenous Knowledge of Carpobrotus edulis</w:t>
      </w:r>
    </w:p>
    <w:p>
      <w:pPr>
        <w:pStyle w:val="ListParagraph"/>
        <w:numPr>
          <w:ilvl w:val="0"/>
          <w:numId w:val="151"/>
        </w:numPr>
        <w:bidi w:val="0"/>
        <w:jc w:val="left"/>
        <w:rPr/>
      </w:pPr>
      <w:hyperlink r:id="rId6">
        <w:r>
          <w:rPr>
            <w:rStyle w:val="Hyperlink"/>
          </w:rPr>
          <w:t>Omoruyi, B.E., et al. (2012). Antioxidant and phytochemical properties of Carpobrotus edulis (L.) bolus leaf used for the management of common infections in HIV/AIDS patients in Eastern Cape Province. BMC Complementary and Alternative Medicine, 12:215. [D</w:t>
        </w:r>
      </w:hyperlink>
    </w:p>
    <w:p>
      <w:pPr>
        <w:pStyle w:val="ListParagraph"/>
        <w:numPr>
          <w:ilvl w:val="0"/>
          <w:numId w:val="0"/>
        </w:numPr>
        <w:bidi w:val="0"/>
        <w:ind w:hanging="0" w:left="720"/>
        <w:jc w:val="left"/>
        <w:rPr/>
      </w:pPr>
      <w:r>
        <w:rPr/>
      </w:r>
    </w:p>
    <w:p>
      <w:pPr>
        <w:pStyle w:val="ListParagraph"/>
        <w:numPr>
          <w:ilvl w:val="0"/>
          <w:numId w:val="152"/>
        </w:numPr>
        <w:bidi w:val="0"/>
        <w:jc w:val="left"/>
        <w:rPr/>
      </w:pPr>
      <w:hyperlink r:id="rId7">
        <w:r>
          <w:rPr>
            <w:rStyle w:val="Hyperlink"/>
          </w:rPr>
          <w:t>Neng, N.R., et al. (2017). Biochemical profile and in vitro neuroprotective properties of Carpobrotus edulis L., a medicinal and edible halophyte native to the coast of South Africa. South African Journal of Botany, 111:222-228.</w:t>
        </w:r>
      </w:hyperlink>
      <w:r>
        <w:rPr/>
        <w:t xml:space="preserve"> [Documents use by Khoi-Khoi, San, and adoption by multiple ethnic groups including Zulu (“ikhambi-lamabulawo,” “umgongozi”) and Xhosa (“igcukuma”)]</w:t>
      </w:r>
    </w:p>
    <w:p>
      <w:pPr>
        <w:pStyle w:val="ListParagraph"/>
        <w:numPr>
          <w:ilvl w:val="0"/>
          <w:numId w:val="0"/>
        </w:numPr>
        <w:bidi w:val="0"/>
        <w:ind w:hanging="0" w:left="720"/>
        <w:jc w:val="left"/>
        <w:rPr/>
      </w:pPr>
      <w:r>
        <w:rPr/>
      </w:r>
    </w:p>
    <w:p>
      <w:pPr>
        <w:pStyle w:val="ListParagraph"/>
        <w:numPr>
          <w:ilvl w:val="0"/>
          <w:numId w:val="153"/>
        </w:numPr>
        <w:bidi w:val="0"/>
        <w:jc w:val="left"/>
        <w:rPr/>
      </w:pPr>
      <w:hyperlink r:id="rId8">
        <w:r>
          <w:rPr>
            <w:rStyle w:val="Hyperlink"/>
          </w:rPr>
          <w:t>Akinyede, K.A., Ekpo, O.E., &amp; Oguntibeju, O.O. (2019). Traditional uses, phytochemistry and pharmacological activity of Carpobrotus edulis: A global perspective. Journal of Phytopharmacology, 8(3):111-116.</w:t>
        </w:r>
      </w:hyperlink>
    </w:p>
    <w:p>
      <w:pPr>
        <w:pStyle w:val="ListParagraph"/>
        <w:numPr>
          <w:ilvl w:val="0"/>
          <w:numId w:val="0"/>
        </w:numPr>
        <w:bidi w:val="0"/>
        <w:ind w:hanging="0" w:left="720"/>
        <w:jc w:val="left"/>
        <w:rPr/>
      </w:pPr>
      <w:r>
        <w:rPr/>
      </w:r>
    </w:p>
    <w:p>
      <w:pPr>
        <w:pStyle w:val="ListParagraph"/>
        <w:numPr>
          <w:ilvl w:val="0"/>
          <w:numId w:val="154"/>
        </w:numPr>
        <w:bidi w:val="0"/>
        <w:jc w:val="left"/>
        <w:rPr/>
      </w:pPr>
      <w:r>
        <w:rPr/>
        <w:t>Grierson, D.S., &amp; Afolayan, A.J. (2014). Ethnobotanical survey of medicinal plants used in the management of skin disorders among the Xhosa communities of the Amathole District, Eastern Cape, South Africa. Journal of Ethnopharmacology, 153:220-232.</w:t>
      </w:r>
    </w:p>
    <w:p>
      <w:pPr>
        <w:pStyle w:val="ListParagraph"/>
        <w:numPr>
          <w:ilvl w:val="0"/>
          <w:numId w:val="0"/>
        </w:numPr>
        <w:bidi w:val="0"/>
        <w:ind w:hanging="0" w:left="720"/>
        <w:jc w:val="left"/>
        <w:rPr/>
      </w:pPr>
      <w:r>
        <w:rPr/>
      </w:r>
    </w:p>
    <w:p>
      <w:pPr>
        <w:pStyle w:val="ListParagraph"/>
        <w:numPr>
          <w:ilvl w:val="0"/>
          <w:numId w:val="155"/>
        </w:numPr>
        <w:bidi w:val="0"/>
        <w:jc w:val="left"/>
        <w:rPr/>
      </w:pPr>
      <w:r>
        <w:rPr/>
        <w:t>Ndhlovu, P.T., et al. (2021). Ethnobotanical knowledge across urban cultural groups: Zulu, Tsonga, and Pedi traditional medicine in South Africa. Frontiers in Pharmacology, 12:758583.</w:t>
      </w:r>
    </w:p>
    <w:p>
      <w:pPr>
        <w:pStyle w:val="ListParagraph"/>
        <w:numPr>
          <w:ilvl w:val="0"/>
          <w:numId w:val="0"/>
        </w:numPr>
        <w:bidi w:val="0"/>
        <w:ind w:hanging="0" w:left="720"/>
        <w:jc w:val="left"/>
        <w:rPr/>
      </w:pPr>
      <w:r>
        <w:rPr/>
      </w:r>
    </w:p>
    <w:p>
      <w:pPr>
        <w:pStyle w:val="Normal"/>
        <w:numPr>
          <w:ilvl w:val="0"/>
          <w:numId w:val="156"/>
        </w:numPr>
        <w:rPr/>
      </w:pPr>
      <w:bookmarkStart w:id="0" w:name="page-title"/>
      <w:bookmarkEnd w:id="0"/>
      <w:r>
        <w:rPr>
          <w:caps w:val="false"/>
          <w:smallCaps w:val="false"/>
        </w:rPr>
        <w:t>A. Martins, A. Vasas, ZS. Schelz, M. Vivieros, J. Molnar, J. Hohmann And L. Amaral (2010),</w:t>
      </w:r>
      <w:r>
        <w:rPr/>
        <w:t xml:space="preserve"> </w:t>
      </w:r>
      <w:hyperlink r:id="rId9">
        <w:r>
          <w:rPr>
            <w:rStyle w:val="Hyperlink"/>
          </w:rPr>
          <w:t xml:space="preserve">Constituents of </w:t>
        </w:r>
        <w:r>
          <w:rPr>
            <w:rStyle w:val="Hyperlink"/>
            <w:i/>
            <w:iCs/>
          </w:rPr>
          <w:t>Carpobrotus edulis</w:t>
        </w:r>
        <w:r>
          <w:rPr>
            <w:rStyle w:val="Hyperlink"/>
          </w:rPr>
          <w:t xml:space="preserve"> Inhibit P-Glycoprotein of </w:t>
        </w:r>
        <w:r>
          <w:rPr>
            <w:rStyle w:val="Hyperlink"/>
            <w:i/>
            <w:iCs/>
          </w:rPr>
          <w:t>MDR1</w:t>
        </w:r>
        <w:r>
          <w:rPr>
            <w:rStyle w:val="Hyperlink"/>
          </w:rPr>
          <w:t>-transfected Mouse Lymphoma Cells,</w:t>
        </w:r>
      </w:hyperlink>
      <w:r>
        <w:rPr/>
        <w:t xml:space="preserve"> Anticancer Research March 2010, 30 (3) 829-835; [ refers to C. edulis is used in traditional medicine for the treatment of burns, stomach ailments, ulcerations of the mouth, toothache, oral and vaginal thrush, as well as bacterial infections, such as those affecting the lungs (tuberculosis), sinuses, and the colon (dysentery)]</w:t>
      </w:r>
    </w:p>
    <w:p>
      <w:pPr>
        <w:pStyle w:val="Normal"/>
        <w:numPr>
          <w:ilvl w:val="0"/>
          <w:numId w:val="0"/>
        </w:numPr>
        <w:ind w:hanging="0" w:left="720"/>
        <w:rPr/>
      </w:pPr>
      <w:r>
        <w:rPr/>
      </w:r>
    </w:p>
    <w:p>
      <w:pPr>
        <w:pStyle w:val="Normal"/>
        <w:numPr>
          <w:ilvl w:val="0"/>
          <w:numId w:val="0"/>
        </w:numPr>
        <w:ind w:hanging="0" w:left="720"/>
        <w:rPr/>
      </w:pPr>
      <w:r>
        <w:rPr/>
        <w:t xml:space="preserve">Semenya, Sebua Silas; Maroyi, Alfred (2018) </w:t>
      </w:r>
      <w:hyperlink r:id="rId10">
        <w:r>
          <w:rPr>
            <w:rStyle w:val="Hyperlink"/>
          </w:rPr>
          <w:t>Therapeutic plants used by traditional health practitioners to treat pneumonia in the Limpopo Province, South Africa</w:t>
        </w:r>
      </w:hyperlink>
      <w:r>
        <w:rPr/>
        <w:t>. BOLETÍN LATINO AMERICANO Y DEL CARIBE DE PLANTAS MEDICINALES Y AROMÁTICAS 17 (6): 583 - 603 (2018) [Details use by BaPedi traditional healers to treat pneumonia, chewed orally as raw and juice as swallowed thrice daily]</w:t>
      </w:r>
    </w:p>
    <w:p>
      <w:pPr>
        <w:pStyle w:val="Normal"/>
        <w:numPr>
          <w:ilvl w:val="0"/>
          <w:numId w:val="0"/>
        </w:numPr>
        <w:ind w:hanging="0" w:left="720"/>
        <w:rPr/>
      </w:pPr>
      <w:r>
        <w:rPr/>
      </w:r>
    </w:p>
    <w:p>
      <w:pPr>
        <w:pStyle w:val="Normal"/>
        <w:numPr>
          <w:ilvl w:val="0"/>
          <w:numId w:val="157"/>
        </w:numPr>
        <w:rPr/>
      </w:pPr>
      <w:r>
        <w:rPr/>
        <w:t>Sebua Silas Semenya &amp; Alfred Maroyi (2018) Exotic plants used therapeutically by Bapedi traditional healers for respiratory infections and related symptoms in the Limpopo province, South Africa,  Indian Journal of Traditional Knowledge</w:t>
      </w:r>
    </w:p>
    <w:p>
      <w:pPr>
        <w:pStyle w:val="Normal"/>
        <w:numPr>
          <w:ilvl w:val="0"/>
          <w:numId w:val="158"/>
        </w:numPr>
        <w:rPr/>
      </w:pPr>
      <w:r>
        <w:rPr/>
        <w:t>Vol. 17(4), October 2018, pp. 663-671</w:t>
      </w:r>
    </w:p>
    <w:p>
      <w:pPr>
        <w:pStyle w:val="Normal"/>
        <w:numPr>
          <w:ilvl w:val="0"/>
          <w:numId w:val="0"/>
        </w:numPr>
        <w:ind w:hanging="0" w:left="720"/>
        <w:rPr/>
      </w:pPr>
      <w:r>
        <w:rPr/>
      </w:r>
    </w:p>
    <w:p>
      <w:pPr>
        <w:pStyle w:val="Normal"/>
        <w:numPr>
          <w:ilvl w:val="0"/>
          <w:numId w:val="159"/>
        </w:numPr>
        <w:rPr/>
      </w:pPr>
      <w:r>
        <w:rPr/>
        <w:t xml:space="preserve">Beauty E Omoruyi, Graeme Bradley &amp;  Anthony J Afolayan (2012) </w:t>
      </w:r>
      <w:hyperlink r:id="rId11">
        <w:r>
          <w:rPr>
            <w:rStyle w:val="Hyperlink"/>
          </w:rPr>
          <w:t xml:space="preserve">Antioxidant and phytochemical properties of </w:t>
        </w:r>
        <w:r>
          <w:rPr>
            <w:rStyle w:val="Hyperlink"/>
            <w:i/>
          </w:rPr>
          <w:t>Carpobrotus edulis</w:t>
        </w:r>
        <w:r>
          <w:rPr>
            <w:rStyle w:val="Hyperlink"/>
          </w:rPr>
          <w:t xml:space="preserve"> (L.) bolus leaf used for the management of common infections in HIV/AIDS patients in Eastern Cape Province</w:t>
        </w:r>
      </w:hyperlink>
      <w:r>
        <w:rPr/>
        <w:t xml:space="preserve">, </w:t>
      </w:r>
      <w:bookmarkStart w:id="1" w:name="breadcrumb1"/>
      <w:bookmarkStart w:id="2" w:name="breadcrumb0"/>
      <w:bookmarkEnd w:id="1"/>
      <w:bookmarkEnd w:id="2"/>
      <w:r>
        <w:rPr/>
        <w:t>BMC Complementary and Alternative Medicine 12:215 [Details traditional medicinal use for common infections related to HIV in Eastern Cape, demonstrates anti-oxidant effects]</w:t>
      </w:r>
    </w:p>
    <w:p>
      <w:pPr>
        <w:pStyle w:val="Normal"/>
        <w:numPr>
          <w:ilvl w:val="0"/>
          <w:numId w:val="0"/>
        </w:numPr>
        <w:ind w:hanging="0" w:left="720"/>
        <w:rPr/>
      </w:pPr>
      <w:r>
        <w:rPr/>
      </w:r>
    </w:p>
    <w:p>
      <w:pPr>
        <w:pStyle w:val="Normal"/>
        <w:numPr>
          <w:ilvl w:val="0"/>
          <w:numId w:val="160"/>
        </w:numPr>
        <w:rPr/>
      </w:pPr>
      <w:bookmarkStart w:id="3" w:name="a1_Ctrl"/>
      <w:bookmarkEnd w:id="3"/>
      <w:r>
        <w:rPr/>
        <w:t>I. O. Lawal, </w:t>
      </w:r>
      <w:bookmarkStart w:id="4" w:name="a2_Ctrl"/>
      <w:bookmarkEnd w:id="4"/>
      <w:r>
        <w:rPr/>
        <w:t>D. S. Grierson, </w:t>
      </w:r>
      <w:bookmarkStart w:id="5" w:name="a3_Ctrl"/>
      <w:bookmarkEnd w:id="5"/>
      <w:r>
        <w:rPr/>
        <w:t xml:space="preserve">A. J. Afolayan. (2014) </w:t>
      </w:r>
      <w:hyperlink r:id="rId12">
        <w:r>
          <w:rPr>
            <w:rStyle w:val="Hyperlink"/>
          </w:rPr>
          <w:t>Phytotherapeutic Information on Plants Used for the Treatment of Tuberculosis in Eastern Cape Province, South Africa</w:t>
        </w:r>
      </w:hyperlink>
      <w:r>
        <w:rPr/>
        <w:t>, Evidence-Based Complementary and Alternative Medicine, volume 2014 [</w:t>
      </w:r>
      <w:r>
        <w:rPr>
          <w:i w:val="false"/>
          <w:iCs w:val="false"/>
        </w:rPr>
        <w:t>Carpobrotus edulis frequently mentioned by tradtional healers in treatment of TB]</w:t>
      </w:r>
    </w:p>
    <w:p>
      <w:pPr>
        <w:pStyle w:val="Normal"/>
        <w:numPr>
          <w:ilvl w:val="0"/>
          <w:numId w:val="0"/>
        </w:numPr>
        <w:ind w:hanging="0" w:left="720"/>
        <w:rPr>
          <w:i w:val="false"/>
          <w:i w:val="false"/>
          <w:iCs w:val="false"/>
        </w:rPr>
      </w:pPr>
      <w:r>
        <w:rPr>
          <w:i w:val="false"/>
          <w:iCs w:val="false"/>
        </w:rPr>
      </w:r>
    </w:p>
    <w:p>
      <w:pPr>
        <w:pStyle w:val="Normal"/>
        <w:numPr>
          <w:ilvl w:val="0"/>
          <w:numId w:val="161"/>
        </w:numPr>
        <w:rPr/>
      </w:pPr>
      <w:r>
        <w:rPr/>
        <w:t xml:space="preserve">Akinyede, K. A., Ekpo, O. E., &amp; Oguntibeju, O. O. (2020). </w:t>
      </w:r>
      <w:hyperlink r:id="rId13">
        <w:r>
          <w:rPr>
            <w:rStyle w:val="Hyperlink"/>
          </w:rPr>
          <w:t>Ethnopharmacology, Therapeutic Properties and Nutritional Potentials of Carpobrotus edulis: A Comprehensive Review. Scientia Pharmaceutica,</w:t>
        </w:r>
      </w:hyperlink>
      <w:r>
        <w:rPr/>
        <w:t xml:space="preserve"> 88(3), 39.  [C. edulis enormous importance for the treatment of many disease conditions. The juice and sap from C. edulis leaves are traditionally used to treat throat and mouth infections, dysentery  and digestive problems , tuberculosis , and skin conditions such as burns and wounds as well as for the management of common infections in HIV/AIDS . These authors have also reported the use of C. edulis for the treatment of toothache, earache, oral thrush, vaginal thrush, blood pressure, and diabetes mellitus. C. edulis has also been reported to play an important role as a traditional food additive to improve the nutrient composition of food, as its edible fleshy shoot when soaked in water and well-prepared has been used as a food preservative]</w:t>
      </w:r>
    </w:p>
    <w:p>
      <w:pPr>
        <w:pStyle w:val="Normal"/>
        <w:rPr/>
      </w:pPr>
      <w:r>
        <w:rPr/>
      </w:r>
    </w:p>
    <w:p>
      <w:pPr>
        <w:pStyle w:val="Normal"/>
        <w:rPr>
          <w:b/>
          <w:bCs/>
        </w:rPr>
      </w:pPr>
      <w:r>
        <w:rPr>
          <w:b/>
          <w:bCs/>
        </w:rPr>
        <w:t>Scientific studies detailing potential medical and nutritional applications of C Edulis</w:t>
      </w:r>
    </w:p>
    <w:p>
      <w:pPr>
        <w:pStyle w:val="Normal"/>
        <w:numPr>
          <w:ilvl w:val="0"/>
          <w:numId w:val="0"/>
        </w:numPr>
        <w:ind w:hanging="0" w:left="720"/>
        <w:rPr/>
      </w:pPr>
      <w:r>
        <w:rPr/>
      </w:r>
    </w:p>
    <w:p>
      <w:pPr>
        <w:pStyle w:val="Normal"/>
        <w:numPr>
          <w:ilvl w:val="0"/>
          <w:numId w:val="162"/>
        </w:numPr>
        <w:rPr/>
      </w:pPr>
      <w:r>
        <w:rPr/>
        <w:t xml:space="preserve">Marques, C. R., Sousa, C., Moutinho, C., Matos, C., &amp; Vinha, A. F. (2025). </w:t>
      </w:r>
      <w:hyperlink r:id="rId14">
        <w:r>
          <w:rPr>
            <w:rStyle w:val="Hyperlink"/>
          </w:rPr>
          <w:t>Characterization of Dietary Constituents, Phytochemicals, and Antioxidant Capacity of Carpobrotus edulis Fruit: Potential Application in Nutrition.</w:t>
        </w:r>
      </w:hyperlink>
      <w:r>
        <w:rPr/>
        <w:t xml:space="preserve"> Applied Sciences, 15(10), 5599. [C. edulis is widely recognized as a culinary and medicinal plant [3,4]. This species has traditionally been regarded as an edible plant [5], consumed either raw or as processed food, like jams and jellies. Also, its leaves are used as a vegetable, and its sweet and peppery fruits are also consumed. Other applications of C. edulis have been described, such as natural additives (to add flavor) or as food preservatives [3,6]. Also, several studies have shown that C. edulis possesses various bioactive compounds that perform a range of biological functions, including antioxidant, enzymatic inhibition [7], antibacterial and antifungal [8,9], antiproliferative [10], anti-HIV [11], and neuroprotective properties [12]. Flavonoids like catechin, epicatechin, rutin, and luteolin and phenolic acids such as chlorogenic and sinapic acids are the most common phytoconstituents described in this species, followed by procyanidins, coumarins, terpenoids (amyrin, oleanolic acid, and uvaol), and alkaloids [2,13]. These compounds have great importance in the food industry, such as vanillin, a flavoring with relevant bioactive properties (antioxidant, antimicrobial, and neuroprotective) [7]; uvaol, which has antitumoral activities that can enhance its use as a nutraceutical [14]; tannins, thanks to their antiseptic, antibacterial, antioxidant, anticarcinogenic, and anti-inflammatory properties, which make them suitable for use as nutraceuticals and as food preservatives [15]; and procyanidins, which can be used as natural food dyes, being at the same time intestinal epithelial cell protectors, among other important bioactivities [16]. In addition to these examples, it should be noted that many of these compounds are tyrosinase inhibitors, which makes them have great potential in industrial applications, thanks to their ability to prevent food enzymatic browning, thus avoiding nutritional and economic losses during the storage period]</w:t>
      </w:r>
    </w:p>
    <w:p>
      <w:pPr>
        <w:pStyle w:val="Normal"/>
        <w:numPr>
          <w:ilvl w:val="0"/>
          <w:numId w:val="0"/>
        </w:numPr>
        <w:ind w:hanging="0" w:left="720"/>
        <w:rPr/>
      </w:pPr>
      <w:r>
        <w:rPr/>
      </w:r>
    </w:p>
    <w:p>
      <w:pPr>
        <w:pStyle w:val="Normal"/>
        <w:numPr>
          <w:ilvl w:val="0"/>
          <w:numId w:val="163"/>
        </w:numPr>
        <w:rPr/>
      </w:pPr>
      <w:r>
        <w:rPr/>
        <w:t xml:space="preserve">Sabiu, S., Balogun, F. O., &amp; Amoo, S. O. (2021). </w:t>
      </w:r>
      <w:hyperlink r:id="rId15">
        <w:r>
          <w:rPr>
            <w:rStyle w:val="Hyperlink"/>
          </w:rPr>
          <w:t>Phenolics Profiling of Carpobrotus edulis (L.) N.E.Br. and Insights into Molecular Dynamics of Their Significance in Type 2 Diabetes Therapy and Its Retinopathy Complication</w:t>
        </w:r>
      </w:hyperlink>
      <w:r>
        <w:rPr/>
        <w:t xml:space="preserve">. Molecules, 26(16), 4867. </w:t>
      </w:r>
    </w:p>
    <w:p>
      <w:pPr>
        <w:pStyle w:val="Normal"/>
        <w:numPr>
          <w:ilvl w:val="0"/>
          <w:numId w:val="0"/>
        </w:numPr>
        <w:ind w:hanging="0" w:left="720"/>
        <w:rPr/>
      </w:pPr>
      <w:r>
        <w:rPr/>
      </w:r>
    </w:p>
    <w:p>
      <w:pPr>
        <w:pStyle w:val="Normal"/>
        <w:rPr/>
      </w:pPr>
      <w:r>
        <w:rPr/>
      </w:r>
    </w:p>
    <w:p>
      <w:pPr>
        <w:pStyle w:val="ListParagraph"/>
        <w:bidi w:val="0"/>
        <w:spacing w:before="0" w:after="240"/>
        <w:jc w:val="left"/>
        <w:rPr/>
      </w:pPr>
      <w:r>
        <w:rPr/>
      </w:r>
    </w:p>
    <w:p>
      <w:pPr>
        <w:pStyle w:val="ListParagraph"/>
        <w:bidi w:val="0"/>
        <w:spacing w:before="0" w:after="240"/>
        <w:jc w:val="left"/>
        <w:rPr/>
      </w:pPr>
      <w:r>
        <w:rPr/>
      </w:r>
    </w:p>
    <w:p>
      <w:pPr>
        <w:pStyle w:val="ListParagraph"/>
        <w:bidi w:val="0"/>
        <w:spacing w:before="0" w:after="240"/>
        <w:jc w:val="left"/>
        <w:rPr/>
      </w:pPr>
      <w:r>
        <w:rPr/>
      </w:r>
    </w:p>
    <w:p>
      <w:pPr>
        <w:pStyle w:val="ListParagraph"/>
        <w:bidi w:val="0"/>
        <w:spacing w:before="0" w:after="240"/>
        <w:jc w:val="left"/>
        <w:rPr/>
      </w:pPr>
      <w:r>
        <w:rPr/>
      </w:r>
    </w:p>
    <w:p>
      <w:pPr>
        <w:pStyle w:val="ListParagraph"/>
        <w:bidi w:val="0"/>
        <w:spacing w:before="0" w:after="240"/>
        <w:jc w:val="left"/>
        <w:rPr/>
      </w:pPr>
      <w:r>
        <w:rPr/>
      </w:r>
    </w:p>
    <w:p>
      <w:pPr>
        <w:pStyle w:val="ListParagraph"/>
        <w:bidi w:val="0"/>
        <w:spacing w:before="0" w:after="240"/>
        <w:jc w:val="left"/>
        <w:rPr/>
      </w:pPr>
      <w:r>
        <w:rPr/>
      </w:r>
    </w:p>
    <w:p>
      <w:pPr>
        <w:pStyle w:val="ListParagraph"/>
        <w:bidi w:val="0"/>
        <w:spacing w:before="0" w:after="240"/>
        <w:jc w:val="left"/>
        <w:rPr>
          <w:rFonts w:ascii="Arial" w:hAnsi="Arial" w:eastAsia="Arial" w:cs="Arial"/>
          <w:b/>
          <w:bCs/>
          <w:sz w:val="32"/>
          <w:szCs w:val="32"/>
        </w:rPr>
      </w:pPr>
      <w:r>
        <w:rPr>
          <w:rFonts w:eastAsia="Arial" w:cs="Arial"/>
          <w:b/>
          <w:bCs/>
          <w:sz w:val="32"/>
          <w:szCs w:val="32"/>
        </w:rPr>
      </w:r>
    </w:p>
    <w:p>
      <w:pPr>
        <w:pStyle w:val="Normal"/>
        <w:bidi w:val="0"/>
        <w:spacing w:before="0" w:after="240"/>
        <w:jc w:val="center"/>
        <w:rPr/>
      </w:pPr>
      <w:r>
        <w:rPr>
          <w:rFonts w:eastAsia="Arial" w:cs="Arial"/>
          <w:b/>
          <w:bCs/>
          <w:sz w:val="32"/>
          <w:szCs w:val="32"/>
        </w:rPr>
        <w:t xml:space="preserve">ADDENDUM </w:t>
      </w:r>
    </w:p>
    <w:p>
      <w:pPr>
        <w:pStyle w:val="Normal"/>
        <w:bidi w:val="0"/>
        <w:spacing w:before="0" w:after="480"/>
        <w:jc w:val="center"/>
        <w:rPr/>
      </w:pPr>
      <w:r>
        <w:rPr>
          <w:rFonts w:eastAsia="Arial" w:cs="Arial"/>
          <w:b/>
          <w:bCs/>
          <w:sz w:val="28"/>
          <w:szCs w:val="28"/>
        </w:rPr>
        <w:t xml:space="preserve">Patent Evolution Timeline: </w:t>
      </w:r>
      <w:r>
        <w:rPr>
          <w:rFonts w:eastAsia="Arial" w:cs="Arial"/>
          <w:b/>
          <w:bCs/>
          <w:i/>
          <w:iCs/>
          <w:sz w:val="28"/>
          <w:szCs w:val="28"/>
        </w:rPr>
        <w:t>Carpobrotus edulis</w:t>
      </w:r>
      <w:r>
        <w:rPr>
          <w:rFonts w:eastAsia="Arial" w:cs="Arial"/>
          <w:b/>
          <w:bCs/>
          <w:sz w:val="28"/>
          <w:szCs w:val="28"/>
        </w:rPr>
        <w:t xml:space="preserve"> Under WIPO</w:t>
      </w:r>
    </w:p>
    <w:p>
      <w:pPr>
        <w:pStyle w:val="Heading1"/>
        <w:bidi w:val="0"/>
        <w:ind w:hanging="0" w:left="0"/>
        <w:jc w:val="left"/>
        <w:rPr/>
      </w:pPr>
      <w:r>
        <w:rPr/>
        <w:t>Introduction</w:t>
      </w:r>
    </w:p>
    <w:p>
      <w:pPr>
        <w:pStyle w:val="Normal"/>
        <w:bidi w:val="0"/>
        <w:spacing w:before="0" w:after="240"/>
        <w:jc w:val="left"/>
        <w:rPr/>
      </w:pPr>
      <w:r>
        <w:rPr/>
        <w:t xml:space="preserve">This addendum documents patent applications for </w:t>
      </w:r>
      <w:r>
        <w:rPr>
          <w:i/>
          <w:iCs/>
        </w:rPr>
        <w:t>Carpobrotus edulis,</w:t>
      </w:r>
      <w:r>
        <w:rPr/>
        <w:t xml:space="preserve"> confirming European/Chinese dominance pre-2020 and emerging South African participation, with a notable recent shift toward cosmetic applications.</w:t>
      </w:r>
    </w:p>
    <w:p>
      <w:pPr>
        <w:pStyle w:val="Heading1"/>
        <w:bidi w:val="0"/>
        <w:ind w:hanging="0" w:left="0"/>
        <w:jc w:val="left"/>
        <w:rPr/>
      </w:pPr>
      <w:r>
        <w:rPr/>
        <w:t>Key Patents Documented</w:t>
      </w:r>
    </w:p>
    <w:p>
      <w:pPr>
        <w:pStyle w:val="Heading2"/>
        <w:bidi w:val="0"/>
        <w:ind w:hanging="0" w:left="0"/>
        <w:jc w:val="left"/>
        <w:rPr/>
      </w:pPr>
      <w:r>
        <w:rPr/>
        <w:t xml:space="preserve">2007: </w:t>
      </w:r>
      <w:hyperlink r:id="rId16">
        <w:r>
          <w:rPr>
            <w:rStyle w:val="Hyperlink"/>
          </w:rPr>
          <w:t>Italian WIPO Patent (WO2007144723A2)</w:t>
        </w:r>
      </w:hyperlink>
    </w:p>
    <w:p>
      <w:pPr>
        <w:pStyle w:val="ListParagraph"/>
        <w:numPr>
          <w:ilvl w:val="0"/>
          <w:numId w:val="164"/>
        </w:numPr>
        <w:bidi w:val="0"/>
        <w:jc w:val="left"/>
        <w:rPr/>
      </w:pPr>
      <w:r>
        <w:rPr/>
        <w:t>Applicant: Giangiacomo Bono (Italy)</w:t>
      </w:r>
    </w:p>
    <w:p>
      <w:pPr>
        <w:pStyle w:val="ListParagraph"/>
        <w:numPr>
          <w:ilvl w:val="0"/>
          <w:numId w:val="165"/>
        </w:numPr>
        <w:bidi w:val="0"/>
        <w:jc w:val="left"/>
        <w:rPr/>
      </w:pPr>
      <w:r>
        <w:rPr/>
        <w:t>Scope: Anti-itching, anti-inflammatory, skin regeneration, UV protection</w:t>
      </w:r>
    </w:p>
    <w:p>
      <w:pPr>
        <w:pStyle w:val="ListParagraph"/>
        <w:numPr>
          <w:ilvl w:val="0"/>
          <w:numId w:val="166"/>
        </w:numPr>
        <w:bidi w:val="0"/>
        <w:jc w:val="left"/>
        <w:rPr/>
      </w:pPr>
      <w:r>
        <w:rPr/>
        <w:t>Type: Pharmaceutical/Cosmetic dual application</w:t>
      </w:r>
    </w:p>
    <w:p>
      <w:pPr>
        <w:pStyle w:val="ListParagraph"/>
        <w:numPr>
          <w:ilvl w:val="0"/>
          <w:numId w:val="167"/>
        </w:numPr>
        <w:bidi w:val="0"/>
        <w:spacing w:before="0" w:after="240"/>
        <w:jc w:val="left"/>
        <w:rPr/>
      </w:pPr>
      <w:r>
        <w:rPr/>
        <w:t>Traditional Knowledge Disclosure: None</w:t>
      </w:r>
    </w:p>
    <w:p>
      <w:pPr>
        <w:pStyle w:val="ListParagraph"/>
        <w:numPr>
          <w:ilvl w:val="0"/>
          <w:numId w:val="168"/>
        </w:numPr>
        <w:bidi w:val="0"/>
        <w:spacing w:before="0" w:after="240"/>
        <w:jc w:val="left"/>
        <w:rPr/>
      </w:pPr>
      <w:r>
        <w:rPr/>
        <w:t>“</w:t>
      </w:r>
      <w:r>
        <w:rPr/>
        <w:t xml:space="preserve">The present invention relates to the use of plants of </w:t>
      </w:r>
      <w:r>
        <w:rPr>
          <w:i/>
          <w:iCs/>
        </w:rPr>
        <w:t>Carpobrotus edulis</w:t>
      </w:r>
      <w:r>
        <w:rPr/>
        <w:t xml:space="preserve"> commonly called ‘Hottentot fig’ “</w:t>
      </w:r>
    </w:p>
    <w:p>
      <w:pPr>
        <w:pStyle w:val="Heading2"/>
        <w:bidi w:val="0"/>
        <w:ind w:hanging="0" w:left="0"/>
        <w:jc w:val="left"/>
        <w:rPr/>
      </w:pPr>
      <w:r>
        <w:rPr/>
        <w:t xml:space="preserve">2013-2015: </w:t>
      </w:r>
      <w:hyperlink r:id="rId17">
        <w:r>
          <w:rPr>
            <w:rStyle w:val="Hyperlink"/>
          </w:rPr>
          <w:t>French Cosmetic Patent (FR3013593A1/B1)</w:t>
        </w:r>
      </w:hyperlink>
    </w:p>
    <w:p>
      <w:pPr>
        <w:pStyle w:val="ListParagraph"/>
        <w:numPr>
          <w:ilvl w:val="0"/>
          <w:numId w:val="169"/>
        </w:numPr>
        <w:bidi w:val="0"/>
        <w:jc w:val="left"/>
        <w:rPr/>
      </w:pPr>
      <w:r>
        <w:rPr/>
        <w:t>Applicant: Laboratoires de Biologie Végétale Yves Rocher SA (France)</w:t>
      </w:r>
    </w:p>
    <w:p>
      <w:pPr>
        <w:pStyle w:val="ListParagraph"/>
        <w:numPr>
          <w:ilvl w:val="0"/>
          <w:numId w:val="170"/>
        </w:numPr>
        <w:bidi w:val="0"/>
        <w:jc w:val="left"/>
        <w:rPr/>
      </w:pPr>
      <w:r>
        <w:rPr/>
        <w:t>Filing: November 25, 2013; Published: May 29, 2015; Granted: FR3013593B1</w:t>
      </w:r>
    </w:p>
    <w:p>
      <w:pPr>
        <w:pStyle w:val="ListParagraph"/>
        <w:numPr>
          <w:ilvl w:val="0"/>
          <w:numId w:val="171"/>
        </w:numPr>
        <w:bidi w:val="0"/>
        <w:jc w:val="left"/>
        <w:rPr/>
      </w:pPr>
      <w:r>
        <w:rPr/>
        <w:t>Scope: Cosmetic skin improvement through epidermal protein synthesis</w:t>
      </w:r>
    </w:p>
    <w:p>
      <w:pPr>
        <w:pStyle w:val="ListParagraph"/>
        <w:numPr>
          <w:ilvl w:val="0"/>
          <w:numId w:val="172"/>
        </w:numPr>
        <w:bidi w:val="0"/>
        <w:jc w:val="left"/>
        <w:rPr/>
      </w:pPr>
      <w:r>
        <w:rPr/>
        <w:t>Concentration: 0.0001-5% extract (excluding 1%)</w:t>
      </w:r>
    </w:p>
    <w:p>
      <w:pPr>
        <w:pStyle w:val="ListParagraph"/>
        <w:numPr>
          <w:ilvl w:val="0"/>
          <w:numId w:val="173"/>
        </w:numPr>
        <w:bidi w:val="0"/>
        <w:jc w:val="left"/>
        <w:rPr/>
      </w:pPr>
      <w:r>
        <w:rPr/>
        <w:t>Type: Exclusively cosmetic (major shift from earlier dual applications)</w:t>
      </w:r>
    </w:p>
    <w:p>
      <w:pPr>
        <w:pStyle w:val="ListParagraph"/>
        <w:numPr>
          <w:ilvl w:val="0"/>
          <w:numId w:val="174"/>
        </w:numPr>
        <w:bidi w:val="0"/>
        <w:spacing w:before="0" w:after="240"/>
        <w:jc w:val="left"/>
        <w:rPr/>
      </w:pPr>
      <w:r>
        <w:rPr/>
        <w:t>Traditional Knowledge Disclosure: None</w:t>
      </w:r>
    </w:p>
    <w:p>
      <w:pPr>
        <w:pStyle w:val="Heading2"/>
        <w:bidi w:val="0"/>
        <w:ind w:hanging="0" w:left="0"/>
        <w:jc w:val="left"/>
        <w:rPr/>
      </w:pPr>
      <w:r>
        <w:rPr/>
        <w:t>2020-Present: South African Activity</w:t>
      </w:r>
    </w:p>
    <w:p>
      <w:pPr>
        <w:pStyle w:val="Normal"/>
        <w:bidi w:val="0"/>
        <w:spacing w:before="0" w:after="240"/>
        <w:jc w:val="left"/>
        <w:rPr/>
      </w:pPr>
      <w:r>
        <w:rPr/>
        <w:t>Increased South African research publications (University of Fort Hare, University of the Western Cape), commercial products referencing indigenous knowledge, and defensive publication strategies. However, formal international patent filings remain limited in public databases.</w:t>
      </w:r>
    </w:p>
    <w:p>
      <w:pPr>
        <w:pStyle w:val="Heading1"/>
        <w:bidi w:val="0"/>
        <w:ind w:hanging="0" w:left="0"/>
        <w:jc w:val="left"/>
        <w:rPr/>
      </w:pPr>
      <w:r>
        <w:rPr/>
        <w:t>Key Findings</w:t>
      </w:r>
    </w:p>
    <w:p>
      <w:pPr>
        <w:pStyle w:val="Heading2"/>
        <w:bidi w:val="0"/>
        <w:ind w:hanging="0" w:left="0"/>
        <w:jc w:val="left"/>
        <w:rPr/>
      </w:pPr>
      <w:r>
        <w:rPr/>
        <w:t>1. Cosmetic Application Trend</w:t>
      </w:r>
    </w:p>
    <w:p>
      <w:pPr>
        <w:pStyle w:val="Normal"/>
        <w:bidi w:val="0"/>
        <w:spacing w:before="0" w:after="240"/>
        <w:jc w:val="left"/>
        <w:rPr/>
      </w:pPr>
      <w:r>
        <w:rPr/>
        <w:t>The Yves Rocher patent represents a strategic shift to exclusively cosmetic applications, reflecting: lower regulatory barriers, faster market entry, growing demand for natural ingredients, and premium pricing opportunities for 'South African botanical' marketing.</w:t>
      </w:r>
    </w:p>
    <w:p>
      <w:pPr>
        <w:pStyle w:val="Heading2"/>
        <w:bidi w:val="0"/>
        <w:ind w:hanging="0" w:left="0"/>
        <w:jc w:val="left"/>
        <w:rPr/>
      </w:pPr>
      <w:r>
        <w:rPr/>
        <w:t>2. Zero Traditional Knowledge Disclosure</w:t>
      </w:r>
    </w:p>
    <w:p>
      <w:pPr>
        <w:pStyle w:val="Normal"/>
        <w:bidi w:val="0"/>
        <w:spacing w:before="0" w:after="240"/>
        <w:jc w:val="left"/>
        <w:rPr/>
      </w:pPr>
      <w:r>
        <w:rPr/>
        <w:t>All documented European patents completely omit: indigenous traditional use, ethnobotanical literature, prior informed consent, and benefit-sharing arrangements. This confirms systemic biopiracy patterns similar to Hoodia and Rooibos cases.</w:t>
      </w:r>
    </w:p>
    <w:p>
      <w:pPr>
        <w:pStyle w:val="Heading2"/>
        <w:bidi w:val="0"/>
        <w:ind w:hanging="0" w:left="0"/>
        <w:jc w:val="left"/>
        <w:rPr/>
      </w:pPr>
      <w:r>
        <w:rPr/>
        <w:t>3. Commercial Scale</w:t>
      </w:r>
    </w:p>
    <w:p>
      <w:pPr>
        <w:pStyle w:val="Normal"/>
        <w:bidi w:val="0"/>
        <w:spacing w:before="0" w:after="240"/>
        <w:jc w:val="left"/>
        <w:rPr/>
      </w:pPr>
      <w:r>
        <w:rPr/>
        <w:t>Yves Rocher's involvement signals major commercial interest. The precise patent specifications (molecular mechanisms, concentration ranges, product formulations) indicate substantial R&amp;D investment and intent to commercialize globally.</w:t>
      </w:r>
    </w:p>
    <w:p>
      <w:pPr>
        <w:pStyle w:val="Heading1"/>
        <w:bidi w:val="0"/>
        <w:ind w:hanging="0" w:left="0"/>
        <w:jc w:val="left"/>
        <w:rPr/>
      </w:pPr>
      <w:r>
        <w:rPr/>
        <w:t>Biopiracy Risk Assessment</w:t>
      </w:r>
    </w:p>
    <w:p>
      <w:pPr>
        <w:pStyle w:val="Normal"/>
        <w:bidi w:val="0"/>
        <w:spacing w:before="0" w:after="120"/>
        <w:jc w:val="left"/>
        <w:rPr/>
      </w:pPr>
      <w:r>
        <w:rPr>
          <w:b/>
          <w:bCs/>
        </w:rPr>
        <w:t>Distinctive risks for Carpobrotus edulis:</w:t>
      </w:r>
    </w:p>
    <w:p>
      <w:pPr>
        <w:pStyle w:val="ListParagraph"/>
        <w:numPr>
          <w:ilvl w:val="0"/>
          <w:numId w:val="175"/>
        </w:numPr>
        <w:bidi w:val="0"/>
        <w:jc w:val="left"/>
        <w:rPr/>
      </w:pPr>
      <w:r>
        <w:rPr/>
        <w:t>Multiple claiming communities (Khoi, San, Xhosa, Zulu, Basotho) complicate benefit-sharing</w:t>
      </w:r>
    </w:p>
    <w:p>
      <w:pPr>
        <w:pStyle w:val="ListParagraph"/>
        <w:numPr>
          <w:ilvl w:val="0"/>
          <w:numId w:val="176"/>
        </w:numPr>
        <w:bidi w:val="0"/>
        <w:jc w:val="left"/>
        <w:rPr/>
      </w:pPr>
      <w:r>
        <w:rPr/>
        <w:t>Global cosmetics market substantially larger than pharmaceutical/beverage sectors</w:t>
      </w:r>
    </w:p>
    <w:p>
      <w:pPr>
        <w:pStyle w:val="ListParagraph"/>
        <w:numPr>
          <w:ilvl w:val="0"/>
          <w:numId w:val="177"/>
        </w:numPr>
        <w:bidi w:val="0"/>
        <w:jc w:val="left"/>
        <w:rPr/>
      </w:pPr>
      <w:r>
        <w:rPr/>
        <w:t>Invasive species status enables foreign cultivation without South African benefit-sharing</w:t>
      </w:r>
    </w:p>
    <w:p>
      <w:pPr>
        <w:pStyle w:val="ListParagraph"/>
        <w:numPr>
          <w:ilvl w:val="0"/>
          <w:numId w:val="178"/>
        </w:numPr>
        <w:bidi w:val="0"/>
        <w:spacing w:before="0" w:after="240"/>
        <w:jc w:val="left"/>
        <w:rPr/>
      </w:pPr>
      <w:r>
        <w:rPr/>
        <w:t>Traditional knowledge fragmented across multiple academic disciplines (anthropology, ethnobotany, pharmacology)</w:t>
      </w:r>
    </w:p>
    <w:p>
      <w:pPr>
        <w:pStyle w:val="Heading1"/>
        <w:bidi w:val="0"/>
        <w:ind w:hanging="0" w:left="0"/>
        <w:jc w:val="left"/>
        <w:rPr/>
      </w:pPr>
      <w:r>
        <w:rPr/>
        <w:t>Recommendations</w:t>
      </w:r>
    </w:p>
    <w:p>
      <w:pPr>
        <w:pStyle w:val="ListParagraph"/>
        <w:numPr>
          <w:ilvl w:val="0"/>
          <w:numId w:val="179"/>
        </w:numPr>
        <w:bidi w:val="0"/>
        <w:jc w:val="left"/>
        <w:rPr/>
      </w:pPr>
      <w:r>
        <w:rPr>
          <w:b/>
          <w:bCs/>
        </w:rPr>
        <w:t xml:space="preserve">Immediate: </w:t>
      </w:r>
      <w:r>
        <w:rPr/>
        <w:t>File patent oppositions citing traditional knowledge prior art; establish systematic monitoring of international applications</w:t>
      </w:r>
    </w:p>
    <w:p>
      <w:pPr>
        <w:pStyle w:val="ListParagraph"/>
        <w:numPr>
          <w:ilvl w:val="0"/>
          <w:numId w:val="0"/>
        </w:numPr>
        <w:bidi w:val="0"/>
        <w:ind w:hanging="0" w:left="720"/>
        <w:jc w:val="left"/>
        <w:rPr/>
      </w:pPr>
      <w:r>
        <w:rPr/>
      </w:r>
    </w:p>
    <w:p>
      <w:pPr>
        <w:pStyle w:val="ListParagraph"/>
        <w:numPr>
          <w:ilvl w:val="0"/>
          <w:numId w:val="180"/>
        </w:numPr>
        <w:bidi w:val="0"/>
        <w:jc w:val="left"/>
        <w:rPr/>
      </w:pPr>
      <w:r>
        <w:rPr>
          <w:b/>
          <w:bCs/>
        </w:rPr>
        <w:t xml:space="preserve">Policy: </w:t>
      </w:r>
      <w:r>
        <w:rPr/>
        <w:t>Advocate for mandatory WIPO traditional knowledge disclosure; require cross-disciplinary prior art searches</w:t>
      </w:r>
    </w:p>
    <w:p>
      <w:pPr>
        <w:pStyle w:val="ListParagraph"/>
        <w:numPr>
          <w:ilvl w:val="0"/>
          <w:numId w:val="0"/>
        </w:numPr>
        <w:bidi w:val="0"/>
        <w:ind w:hanging="0" w:left="720"/>
        <w:jc w:val="left"/>
        <w:rPr/>
      </w:pPr>
      <w:r>
        <w:rPr/>
      </w:r>
    </w:p>
    <w:p>
      <w:pPr>
        <w:pStyle w:val="ListParagraph"/>
        <w:numPr>
          <w:ilvl w:val="0"/>
          <w:numId w:val="181"/>
        </w:numPr>
        <w:bidi w:val="0"/>
        <w:spacing w:before="0" w:after="240"/>
        <w:jc w:val="left"/>
        <w:rPr/>
      </w:pPr>
      <w:r>
        <w:rPr>
          <w:b/>
          <w:bCs/>
        </w:rPr>
        <w:t xml:space="preserve">Community: </w:t>
      </w:r>
      <w:r>
        <w:rPr/>
        <w:t>Legal capacity building; inter-community benefit-sharing councils; support community-owned commercial ventures</w:t>
      </w:r>
    </w:p>
    <w:p>
      <w:pPr>
        <w:pStyle w:val="Heading1"/>
        <w:bidi w:val="0"/>
        <w:ind w:hanging="0" w:left="0"/>
        <w:jc w:val="left"/>
        <w:rPr/>
      </w:pPr>
      <w:r>
        <w:rPr/>
        <w:t>Conclusion</w:t>
      </w:r>
    </w:p>
    <w:p>
      <w:pPr>
        <w:pStyle w:val="Normal"/>
        <w:bidi w:val="0"/>
        <w:spacing w:before="0" w:after="240"/>
        <w:jc w:val="left"/>
        <w:rPr/>
      </w:pPr>
      <w:r>
        <w:rPr/>
        <w:t xml:space="preserve">Patent analysis confirms biopiracy patterns with concerning shift to cosmetic commercialization by major European corporations. Zero traditional knowledge disclosure in European patents demonstrates systemic failure. </w:t>
      </w:r>
      <w:r>
        <w:rPr>
          <w:i/>
          <w:iCs/>
        </w:rPr>
        <w:t>Carpobrotus edulis</w:t>
      </w:r>
      <w:r>
        <w:rPr/>
        <w:t xml:space="preserve"> case demands proactive intervention before commercial exploitation becomes entrenched.</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arial">
    <w:altName w:val="helvetica"/>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1"/>
    <w:lvlOverride w:ilvl="0">
      <w:startOverride w:val="1"/>
    </w:lvlOverride>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lvlOverride w:ilvl="0">
      <w:startOverride w:val="1"/>
    </w:lvlOverride>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numPr>
        <w:ilvl w:val="0"/>
        <w:numId w:val="0"/>
      </w:numPr>
      <w:spacing w:before="240" w:after="240"/>
      <w:outlineLvl w:val="0"/>
    </w:pPr>
    <w:rPr>
      <w:rFonts w:ascii="Arial" w:hAnsi="Arial" w:eastAsia="Arial" w:cs="Arial"/>
      <w:b/>
      <w:bCs/>
      <w:sz w:val="32"/>
      <w:szCs w:val="32"/>
    </w:rPr>
  </w:style>
  <w:style w:type="paragraph" w:styleId="Heading2">
    <w:name w:val="Heading 2"/>
    <w:basedOn w:val="Heading"/>
    <w:qFormat/>
    <w:pPr>
      <w:numPr>
        <w:ilvl w:val="0"/>
        <w:numId w:val="0"/>
      </w:numPr>
      <w:spacing w:before="180" w:after="180"/>
      <w:outlineLvl w:val="1"/>
    </w:pPr>
    <w:rPr>
      <w:rFonts w:ascii="Arial" w:hAnsi="Arial" w:eastAsia="Arial" w:cs="Arial"/>
      <w:b/>
      <w:bCs/>
      <w:sz w:val="28"/>
      <w:szCs w:val="28"/>
    </w:rPr>
  </w:style>
  <w:style w:type="paragraph" w:styleId="Heading3">
    <w:name w:val="Heading 3"/>
    <w:basedOn w:val="Heading"/>
    <w:qFormat/>
    <w:pPr>
      <w:numPr>
        <w:ilvl w:val="0"/>
        <w:numId w:val="0"/>
      </w:numPr>
      <w:spacing w:before="160" w:after="160"/>
      <w:outlineLvl w:val="2"/>
    </w:pPr>
    <w:rPr>
      <w:rFonts w:ascii="Arial" w:hAnsi="Arial" w:eastAsia="Arial" w:cs="Arial"/>
      <w:b/>
      <w:bCs/>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val="false"/>
      <w:suppressAutoHyphens w:val="true"/>
      <w:overflowPunct w:val="true"/>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val="false"/>
      <w:suppressAutoHyphens w:val="true"/>
      <w:overflowPunct w:val="true"/>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pPr>
      <w:suppressLineNumbers/>
      <w:ind w:hanging="340" w:left="340"/>
    </w:pPr>
    <w:rPr>
      <w:sz w:val="20"/>
      <w:szCs w:val="20"/>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nikso.dst.gov.za/" TargetMode="External"/><Relationship Id="rId3" Type="http://schemas.openxmlformats.org/officeDocument/2006/relationships/hyperlink" Target="https://researchspace.csir.co.za/server/api/core/bitstreams/07cec80b-21bf-4dcd-a6b2-de7e215035b2/content" TargetMode="External"/><Relationship Id="rId4" Type="http://schemas.openxmlformats.org/officeDocument/2006/relationships/hyperlink" Target="https://www.wipo.int/en/web/igc/draft_provisions" TargetMode="External"/><Relationship Id="rId5" Type="http://schemas.openxmlformats.org/officeDocument/2006/relationships/hyperlink" Target="https://naturaljustice.org/rooibos-robbery-nestle-accused-of-biopirating-south-african-genetic-resources/" TargetMode="External"/><Relationship Id="rId6" Type="http://schemas.openxmlformats.org/officeDocument/2006/relationships/hyperlink" Target="https://pubmed.ncbi.nlm.nih.gov/23140206/" TargetMode="External"/><Relationship Id="rId7" Type="http://schemas.openxmlformats.org/officeDocument/2006/relationships/hyperlink" Target="https://www.researchgate.net/publication/314370964_Biochemical_profile_and_in_vitro_neuroprotective_properties_of_Carpobrotus_edulis_L_a_medicinal_and_edible_halophyte_native_to_the_coast_of_South_Africa" TargetMode="External"/><Relationship Id="rId8" Type="http://schemas.openxmlformats.org/officeDocument/2006/relationships/hyperlink" Target="https://www.researchgate.net/publication/345091908_Ethnopharmacology_Therapeutic_Properties_and_Nutritional_Potentials_of_Carpobrotus_edulis_A_Comprehensive_Review" TargetMode="External"/><Relationship Id="rId9" Type="http://schemas.openxmlformats.org/officeDocument/2006/relationships/hyperlink" Target="https://ar.iiarjournals.org/content/30/3/829.short" TargetMode="External"/><Relationship Id="rId10" Type="http://schemas.openxmlformats.org/officeDocument/2006/relationships/hyperlink" Target="https://share.google/ku1U6XL4mWkfwmZO6" TargetMode="External"/><Relationship Id="rId11" Type="http://schemas.openxmlformats.org/officeDocument/2006/relationships/hyperlink" Target="https://link.springer.com/article/10.1186/1472-6882-12-215" TargetMode="External"/><Relationship Id="rId12" Type="http://schemas.openxmlformats.org/officeDocument/2006/relationships/hyperlink" Target="https://onlinelibrary.wiley.com/doi/full/10.1155/2014/735423" TargetMode="External"/><Relationship Id="rId13" Type="http://schemas.openxmlformats.org/officeDocument/2006/relationships/hyperlink" Target="https://doi.org/10.3390/scipharm88030039" TargetMode="External"/><Relationship Id="rId14" Type="http://schemas.openxmlformats.org/officeDocument/2006/relationships/hyperlink" Target="https://doi.org/10.3390/app15105599" TargetMode="External"/><Relationship Id="rId15" Type="http://schemas.openxmlformats.org/officeDocument/2006/relationships/hyperlink" Target="https://doi.org/10.3390/molecules26164867" TargetMode="External"/><Relationship Id="rId16" Type="http://schemas.openxmlformats.org/officeDocument/2006/relationships/hyperlink" Target="https://patents.google.com/patent/WO2007144723A2/en?oq=+Italian+WIPO+Patent+(WO2007144723A2)" TargetMode="External"/><Relationship Id="rId17" Type="http://schemas.openxmlformats.org/officeDocument/2006/relationships/hyperlink" Target="https://patents.google.com/patent/FR3013593A1/en?oq=FR3013593A1%2FB1"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114</TotalTime>
  <Application>LibreOffice/24.2.7.2$Linux_X86_64 LibreOffice_project/420$Build-2</Application>
  <AppVersion>15.0000</AppVersion>
  <Pages>11</Pages>
  <Words>3820</Words>
  <Characters>25502</Characters>
  <CharactersWithSpaces>29062</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2026-03-15T06:54:35Z</dcterms:created>
  <dc:creator>Un-named</dc:creator>
  <dc:description/>
  <dc:language>en-US</dc:language>
  <cp:lastModifiedBy/>
  <cp:lastPrinted>2026-03-16T17:16:34Z</cp:lastPrinted>
  <dcterms:modified xsi:type="dcterms:W3CDTF">2026-03-16T17:42:23Z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