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133"/>
      </w:pPr>
      <w:r>
        <w:rPr>
          <w:rFonts w:ascii="Arial" w:hAnsi="Arial" w:cs="Arial"/>
          <w:sz w:val="64"/>
          <w:sz-cs w:val="64"/>
          <w:b/>
          <w:spacing w:val="0"/>
          <w:color w:val="0E0E0E"/>
        </w:rPr>
        <w:t xml:space="preserve">WULAN BATEER</w:t>
      </w:r>
    </w:p>
    <w:p>
      <w:pPr>
        <w:jc w:val="center"/>
      </w:pPr>
      <w:r>
        <w:rPr>
          <w:rFonts w:ascii="Arial" w:hAnsi="Arial" w:cs="Arial"/>
          <w:sz w:val="25"/>
          <w:sz-cs w:val="25"/>
          <w:spacing w:val="0"/>
          <w:color w:val="434343"/>
        </w:rPr>
        <w:t xml:space="preserve">Hohhot, Inner Mongolia, China (Relocating Overseas) | +86 158 4937 9072 | ulaan9072@gmail.com</w:t>
      </w:r>
    </w:p>
    <w:p>
      <w:pPr>
        <w:jc w:val="center"/>
      </w:pPr>
      <w:r>
        <w:rPr>
          <w:rFonts w:ascii="Arial" w:hAnsi="Arial" w:cs="Arial"/>
          <w:sz w:val="25"/>
          <w:sz-cs w:val="25"/>
          <w:spacing w:val="0"/>
          <w:color w:val="434343"/>
        </w:rPr>
        <w:t xml:space="preserve">GitHub: github.com/ubworkshop | LinkedIn: linkedin.com/in/baatar-ulaan-63667b98</w:t>
      </w:r>
    </w:p>
    <w:p>
      <w:pPr>
        <w:spacing w:after="213"/>
      </w:pPr>
      <w:r>
        <w:rPr>
          <w:rFonts w:ascii="Arial" w:hAnsi="Arial" w:cs="Arial"/>
          <w:sz w:val="34"/>
          <w:sz-cs w:val="34"/>
          <w:b/>
          <w:spacing w:val="0"/>
          <w:color w:val="0F3A6E"/>
        </w:rPr>
        <w:t xml:space="preserve">PROFESSIONAL SUMMARY</w:t>
      </w:r>
    </w:p>
    <w:p>
      <w:pPr>
        <w:jc w:val="both"/>
      </w:pPr>
      <w:r>
        <w:rPr>
          <w:rFonts w:ascii="Arial" w:hAnsi="Arial" w:cs="Arial"/>
          <w:sz w:val="29"/>
          <w:sz-cs w:val="29"/>
          <w:spacing w:val="0"/>
          <w:color w:val="1A1A1A"/>
        </w:rPr>
        <w:t xml:space="preserve">A seasoned Hybrid Cloud Architect, AWS Cloud Engineer, and Senior SRE/DevOps Specialist with 10 years of intensive experience in the IT industry (15 years of total professional experience). Proven track record of designing, building, and operating large-scale production infrastructures, managing over 2,200 nodes and petabyte-scale Ceph storage systems. Highly proficient in AWS and OpenStack architectures, containerization (Kubernetes, Docker), Infrastructure as Code (CloudFormation, Terraform, Ansible), and modern observability stacks (Prometheus, Grafana, ELK, Skywalking). Strong intercultural communication and project management capabilities developed from early career experience with a German multinational enterprise. Fluent in English (TEM-8), Chinese, Mongolian, and Business Japanese.</w:t>
      </w:r>
    </w:p>
    <w:p>
      <w:pPr>
        <w:spacing w:after="213"/>
      </w:pPr>
      <w:r>
        <w:rPr>
          <w:rFonts w:ascii="Arial" w:hAnsi="Arial" w:cs="Arial"/>
          <w:sz w:val="34"/>
          <w:sz-cs w:val="34"/>
          <w:b/>
          <w:spacing w:val="0"/>
          <w:color w:val="0F3A6E"/>
        </w:rPr>
        <w:t xml:space="preserve">TECHNICAL SKILLS</w:t>
      </w:r>
    </w:p>
    <w:p>
      <w:pPr/>
      <w:r>
        <w:rPr>
          <w:rFonts w:ascii="Arial" w:hAnsi="Arial" w:cs="Arial"/>
          <w:sz w:val="26"/>
          <w:sz-cs w:val="26"/>
          <w:b/>
          <w:spacing w:val="0"/>
          <w:color w:val="262626"/>
        </w:rPr>
        <w:t xml:space="preserve">Cloud &amp; Platforms</w:t>
      </w:r>
    </w:p>
    <w:p>
      <w:pPr/>
      <w:r>
        <w:rPr>
          <w:rFonts w:ascii="Arial" w:hAnsi="Arial" w:cs="Arial"/>
          <w:sz w:val="26"/>
          <w:sz-cs w:val="26"/>
          <w:spacing w:val="0"/>
          <w:color w:val="1A1A1A"/>
        </w:rPr>
        <w:t xml:space="preserve">AWS (EC2, S3, RDS, VPC, IAM, Lambda), OpenStack, KVM Hypervisor, Hybrid Cloud Architecture, Alibaba Cloud, Huawei Cloud</w:t>
      </w:r>
    </w:p>
    <w:p>
      <w:pPr/>
      <w:r>
        <w:rPr>
          <w:rFonts w:ascii="Arial" w:hAnsi="Arial" w:cs="Arial"/>
          <w:sz w:val="26"/>
          <w:sz-cs w:val="26"/>
          <w:b/>
          <w:spacing w:val="0"/>
          <w:color w:val="262626"/>
        </w:rPr>
        <w:t xml:space="preserve">Containers &amp; Net</w:t>
      </w:r>
    </w:p>
    <w:p>
      <w:pPr/>
      <w:r>
        <w:rPr>
          <w:rFonts w:ascii="Arial" w:hAnsi="Arial" w:cs="Arial"/>
          <w:sz w:val="26"/>
          <w:sz-cs w:val="26"/>
          <w:spacing w:val="0"/>
          <w:color w:val="1A1A1A"/>
        </w:rPr>
        <w:t xml:space="preserve">Kubernetes (K8s), Docker, Helm, Operators, Calico CNI, LDAP Directory, OpenResty Gateway</w:t>
      </w:r>
    </w:p>
    <w:p>
      <w:pPr/>
      <w:r>
        <w:rPr>
          <w:rFonts w:ascii="Arial" w:hAnsi="Arial" w:cs="Arial"/>
          <w:sz w:val="26"/>
          <w:sz-cs w:val="26"/>
          <w:b/>
          <w:spacing w:val="0"/>
          <w:color w:val="262626"/>
        </w:rPr>
        <w:t xml:space="preserve">Observability &amp; SRE</w:t>
      </w:r>
    </w:p>
    <w:p>
      <w:pPr/>
      <w:r>
        <w:rPr>
          <w:rFonts w:ascii="Arial" w:hAnsi="Arial" w:cs="Arial"/>
          <w:sz w:val="26"/>
          <w:sz-cs w:val="26"/>
          <w:spacing w:val="0"/>
          <w:color w:val="1A1A1A"/>
        </w:rPr>
        <w:t xml:space="preserve">Prometheus, Grafana, Alertmanager, ELK/EFK Stack, Apache Skywalking, Chaos Engineering, Zabbix</w:t>
      </w:r>
    </w:p>
    <w:p>
      <w:pPr/>
      <w:r>
        <w:rPr>
          <w:rFonts w:ascii="Arial" w:hAnsi="Arial" w:cs="Arial"/>
          <w:sz w:val="26"/>
          <w:sz-cs w:val="26"/>
          <w:b/>
          <w:spacing w:val="0"/>
          <w:color w:val="262626"/>
        </w:rPr>
        <w:t xml:space="preserve">IaC &amp; Automation</w:t>
      </w:r>
    </w:p>
    <w:p>
      <w:pPr/>
      <w:r>
        <w:rPr>
          <w:rFonts w:ascii="Arial" w:hAnsi="Arial" w:cs="Arial"/>
          <w:sz w:val="26"/>
          <w:sz-cs w:val="26"/>
          <w:spacing w:val="0"/>
          <w:color w:val="1A1A1A"/>
        </w:rPr>
        <w:t xml:space="preserve">AWS CloudFormation, Terraform, Ansible (Playbook writing), CI/CD Pipelines</w:t>
      </w:r>
    </w:p>
    <w:p>
      <w:pPr/>
      <w:r>
        <w:rPr>
          <w:rFonts w:ascii="Arial" w:hAnsi="Arial" w:cs="Arial"/>
          <w:sz w:val="26"/>
          <w:sz-cs w:val="26"/>
          <w:b/>
          <w:spacing w:val="0"/>
          <w:color w:val="262626"/>
        </w:rPr>
        <w:t xml:space="preserve">Storage &amp; Middleware</w:t>
      </w:r>
    </w:p>
    <w:p>
      <w:pPr/>
      <w:r>
        <w:rPr>
          <w:rFonts w:ascii="Arial" w:hAnsi="Arial" w:cs="Arial"/>
          <w:sz w:val="26"/>
          <w:sz-cs w:val="26"/>
          <w:spacing w:val="0"/>
          <w:color w:val="1A1A1A"/>
        </w:rPr>
        <w:t xml:space="preserve">Ceph Distributed Storage (PB-scale), RabbitMQ, MariaDB, HAProxy, Keepalived, MQTT Broker</w:t>
      </w:r>
    </w:p>
    <w:p>
      <w:pPr/>
      <w:r>
        <w:rPr>
          <w:rFonts w:ascii="Arial" w:hAnsi="Arial" w:cs="Arial"/>
          <w:sz w:val="26"/>
          <w:sz-cs w:val="26"/>
          <w:b/>
          <w:spacing w:val="0"/>
          <w:color w:val="262626"/>
        </w:rPr>
        <w:t xml:space="preserve">Kernel Tuning</w:t>
      </w:r>
    </w:p>
    <w:p>
      <w:pPr/>
      <w:r>
        <w:rPr>
          <w:rFonts w:ascii="Arial" w:hAnsi="Arial" w:cs="Arial"/>
          <w:sz w:val="26"/>
          <w:sz-cs w:val="26"/>
          <w:spacing w:val="0"/>
          <w:color w:val="1A1A1A"/>
        </w:rPr>
        <w:t xml:space="preserve">Linux Kernel Optimization, CPU Pinning, Hugepages allocation, MTU Tuning (Jumbo Frames)</w:t>
      </w:r>
    </w:p>
    <w:p>
      <w:pPr>
        <w:spacing w:after="213"/>
      </w:pPr>
      <w:r>
        <w:rPr>
          <w:rFonts w:ascii="Arial" w:hAnsi="Arial" w:cs="Arial"/>
          <w:sz w:val="34"/>
          <w:sz-cs w:val="34"/>
          <w:b/>
          <w:spacing w:val="0"/>
          <w:color w:val="0F3A6E"/>
        </w:rPr>
        <w:t xml:space="preserve">PROFESSIONAL EXPERIENCE</w:t>
      </w:r>
    </w:p>
    <w:p>
      <w:pPr/>
      <w:r>
        <w:rPr>
          <w:rFonts w:ascii="Arial" w:hAnsi="Arial" w:cs="Arial"/>
          <w:sz w:val="30"/>
          <w:sz-cs w:val="30"/>
          <w:b/>
          <w:spacing w:val="0"/>
          <w:color w:val="1A1A1A"/>
        </w:rPr>
        <w:t xml:space="preserve">Inner Mongolia Abiya Technology Co., Ltd.</w:t>
      </w:r>
      <w:r>
        <w:rPr>
          <w:rFonts w:ascii="Arial" w:hAnsi="Arial" w:cs="Arial"/>
          <w:sz w:val="29"/>
          <w:sz-cs w:val="29"/>
          <w:spacing w:val="0"/>
          <w:color w:val="1A1A1A"/>
        </w:rPr>
        <w:t xml:space="preserve"> — </w:t>
      </w:r>
      <w:r>
        <w:rPr>
          <w:rFonts w:ascii="Arial" w:hAnsi="Arial" w:cs="Arial"/>
          <w:sz w:val="29"/>
          <w:sz-cs w:val="29"/>
          <w:i/>
          <w:spacing w:val="0"/>
          <w:color w:val="1A1A1A"/>
        </w:rPr>
        <w:t xml:space="preserve">AWS Cloud Engineer</w:t>
      </w:r>
      <w:r>
        <w:rPr>
          <w:rFonts w:ascii="Arial" w:hAnsi="Arial" w:cs="Arial"/>
          <w:sz w:val="29"/>
          <w:sz-cs w:val="29"/>
          <w:spacing w:val="0"/>
          <w:color w:val="1A1A1A"/>
        </w:rPr>
        <w:t xml:space="preserve"/>
      </w:r>
    </w:p>
    <w:p>
      <w:pPr>
        <w:jc w:val="right"/>
      </w:pPr>
      <w:r>
        <w:rPr>
          <w:rFonts w:ascii="Arial" w:hAnsi="Arial" w:cs="Arial"/>
          <w:sz w:val="26"/>
          <w:sz-cs w:val="26"/>
          <w:b/>
          <w:spacing w:val="0"/>
          <w:color w:val="434343"/>
        </w:rPr>
        <w:t xml:space="preserve">Jan 2026 – Present</w:t>
      </w:r>
    </w:p>
    <w:p>
      <w:pPr/>
      <w:r>
        <w:rPr>
          <w:rFonts w:ascii="Arial" w:hAnsi="Arial" w:cs="Arial"/>
          <w:sz w:val="26"/>
          <w:sz-cs w:val="26"/>
          <w:i/>
          <w:spacing w:val="0"/>
          <w:color w:val="434343"/>
        </w:rPr>
        <w:t xml:space="preserve">IT solutions and cloud services provider, delivering advanced AWS architectures, cloud migrations, and automation governance.</w:t>
      </w:r>
    </w:p>
    <w:p>
      <w:pPr>
        <w:jc w:val="both"/>
        <w:ind w:left="720" w:first-line="-720"/>
        <w:spacing w:after="80"/>
      </w:pPr>
      <w:r>
        <w:rPr>
          <w:rFonts w:ascii="Arial" w:hAnsi="Arial" w:cs="Arial"/>
          <w:sz w:val="26"/>
          <w:sz-cs w:val="26"/>
          <w:b/>
          <w:color w:val="1A1A1A"/>
        </w:rPr>
        <w:t xml:space="preserve"/>
        <w:tab/>
        <w:t xml:space="preserve">•</w:t>
        <w:tab/>
        <w:t xml:space="preserve"/>
      </w:r>
      <w:r>
        <w:rPr>
          <w:rFonts w:ascii="Arial" w:hAnsi="Arial" w:cs="Arial"/>
          <w:sz w:val="26"/>
          <w:sz-cs w:val="26"/>
          <w:b/>
          <w:spacing w:val="0"/>
          <w:color w:val="1A1A1A"/>
        </w:rPr>
        <w:t xml:space="preserve">Cloud Infrastructure Architecture &amp; Deployment:</w:t>
      </w:r>
      <w:r>
        <w:rPr>
          <w:rFonts w:ascii="Arial" w:hAnsi="Arial" w:cs="Arial"/>
          <w:sz w:val="26"/>
          <w:sz-cs w:val="26"/>
          <w:spacing w:val="0"/>
          <w:color w:val="1A1A1A"/>
        </w:rPr>
        <w:t xml:space="preserve"> Designed and deployed scalable cloud environments on AWS, utilizing VPC for network isolation and IAM for rigorous access control. Achieved a secure and highly available infrastructure baseline for enterprise applications.</w:t>
      </w:r>
    </w:p>
    <w:p>
      <w:pPr>
        <w:jc w:val="both"/>
        <w:ind w:left="720" w:first-line="-720"/>
        <w:spacing w:after="80"/>
      </w:pPr>
      <w:r>
        <w:rPr>
          <w:rFonts w:ascii="Arial" w:hAnsi="Arial" w:cs="Arial"/>
          <w:sz w:val="26"/>
          <w:sz-cs w:val="26"/>
          <w:b/>
          <w:color w:val="1A1A1A"/>
        </w:rPr>
        <w:t xml:space="preserve"/>
        <w:tab/>
        <w:t xml:space="preserve">•</w:t>
        <w:tab/>
        <w:t xml:space="preserve"/>
      </w:r>
      <w:r>
        <w:rPr>
          <w:rFonts w:ascii="Arial" w:hAnsi="Arial" w:cs="Arial"/>
          <w:sz w:val="26"/>
          <w:sz-cs w:val="26"/>
          <w:b/>
          <w:spacing w:val="0"/>
          <w:color w:val="1A1A1A"/>
        </w:rPr>
        <w:t xml:space="preserve">Infrastructure as Code (IaC) &amp; Automation:</w:t>
      </w:r>
      <w:r>
        <w:rPr>
          <w:rFonts w:ascii="Arial" w:hAnsi="Arial" w:cs="Arial"/>
          <w:sz w:val="26"/>
          <w:sz-cs w:val="26"/>
          <w:spacing w:val="0"/>
          <w:color w:val="1A1A1A"/>
        </w:rPr>
        <w:t xml:space="preserve"> Spearheaded the migration to CloudFormation, transforming manual environment provisioning into automated deployment workflows. Reduced infrastructure setup time by 70% and ensured configuration consistency.</w:t>
      </w:r>
    </w:p>
    <w:p>
      <w:pPr>
        <w:jc w:val="both"/>
        <w:ind w:left="720" w:first-line="-720"/>
        <w:spacing w:after="80"/>
      </w:pPr>
      <w:r>
        <w:rPr>
          <w:rFonts w:ascii="Arial" w:hAnsi="Arial" w:cs="Arial"/>
          <w:sz w:val="26"/>
          <w:sz-cs w:val="26"/>
          <w:b/>
          <w:color w:val="1A1A1A"/>
        </w:rPr>
        <w:t xml:space="preserve"/>
        <w:tab/>
        <w:t xml:space="preserve">•</w:t>
        <w:tab/>
        <w:t xml:space="preserve"/>
      </w:r>
      <w:r>
        <w:rPr>
          <w:rFonts w:ascii="Arial" w:hAnsi="Arial" w:cs="Arial"/>
          <w:sz w:val="26"/>
          <w:sz-cs w:val="26"/>
          <w:b/>
          <w:spacing w:val="0"/>
          <w:color w:val="1A1A1A"/>
        </w:rPr>
        <w:t xml:space="preserve">Performance Monitoring &amp; Cost Optimization:</w:t>
      </w:r>
      <w:r>
        <w:rPr>
          <w:rFonts w:ascii="Arial" w:hAnsi="Arial" w:cs="Arial"/>
          <w:sz w:val="26"/>
          <w:sz-cs w:val="26"/>
          <w:spacing w:val="0"/>
          <w:color w:val="1A1A1A"/>
        </w:rPr>
        <w:t xml:space="preserve"> Implemented comprehensive monitoring using Amazon CloudWatch to track resource utilization. Performed cost-benefit analysis and rightsizing of RDS/EC2 instances, leading to a 15% reduction in monthly cloud expenditure.</w:t>
      </w:r>
    </w:p>
    <w:p>
      <w:pPr>
        <w:jc w:val="both"/>
        <w:ind w:left="720" w:first-line="-720"/>
        <w:spacing w:after="80"/>
      </w:pPr>
      <w:r>
        <w:rPr>
          <w:rFonts w:ascii="Arial" w:hAnsi="Arial" w:cs="Arial"/>
          <w:sz w:val="26"/>
          <w:sz-cs w:val="26"/>
          <w:b/>
          <w:color w:val="1A1A1A"/>
        </w:rPr>
        <w:t xml:space="preserve"/>
        <w:tab/>
        <w:t xml:space="preserve">•</w:t>
        <w:tab/>
        <w:t xml:space="preserve"/>
      </w:r>
      <w:r>
        <w:rPr>
          <w:rFonts w:ascii="Arial" w:hAnsi="Arial" w:cs="Arial"/>
          <w:sz w:val="26"/>
          <w:sz-cs w:val="26"/>
          <w:b/>
          <w:spacing w:val="0"/>
          <w:color w:val="1A1A1A"/>
        </w:rPr>
        <w:t xml:space="preserve">Hybrid-Cloud Integration &amp; Architecture:</w:t>
      </w:r>
      <w:r>
        <w:rPr>
          <w:rFonts w:ascii="Arial" w:hAnsi="Arial" w:cs="Arial"/>
          <w:sz w:val="26"/>
          <w:sz-cs w:val="26"/>
          <w:spacing w:val="0"/>
          <w:color w:val="1A1A1A"/>
        </w:rPr>
        <w:t xml:space="preserve"> Architected robust AWS environments with seamless integration to on-premises data centers via VPN/Direct Connect. Ensured operational continuity and high-speed data synchronization across hybrid-cloud ecosystems.</w:t>
      </w:r>
    </w:p>
    <w:p>
      <w:pPr>
        <w:jc w:val="both"/>
        <w:ind w:left="720" w:first-line="-720"/>
        <w:spacing w:after="80"/>
      </w:pPr>
      <w:r>
        <w:rPr>
          <w:rFonts w:ascii="Arial" w:hAnsi="Arial" w:cs="Arial"/>
          <w:sz w:val="26"/>
          <w:sz-cs w:val="26"/>
          <w:b/>
          <w:color w:val="1A1A1A"/>
        </w:rPr>
        <w:t xml:space="preserve"/>
        <w:tab/>
        <w:t xml:space="preserve">•</w:t>
        <w:tab/>
        <w:t xml:space="preserve"/>
      </w:r>
      <w:r>
        <w:rPr>
          <w:rFonts w:ascii="Arial" w:hAnsi="Arial" w:cs="Arial"/>
          <w:sz w:val="26"/>
          <w:sz-cs w:val="26"/>
          <w:b/>
          <w:spacing w:val="0"/>
          <w:color w:val="1A1A1A"/>
        </w:rPr>
        <w:t xml:space="preserve">Security, Compliance &amp; FinOps Governance:</w:t>
      </w:r>
      <w:r>
        <w:rPr>
          <w:rFonts w:ascii="Arial" w:hAnsi="Arial" w:cs="Arial"/>
          <w:sz w:val="26"/>
          <w:sz-cs w:val="26"/>
          <w:spacing w:val="0"/>
          <w:color w:val="1A1A1A"/>
        </w:rPr>
        <w:t xml:space="preserve"> Strengthened security posture by enforcing Least Privilege Access via IAM and implementing AWS CloudTrail for comprehensive audit logging. Conducted regular FinOps reviews, rightsizing EC2/RDS instances and applying S3 lifecycle policies to achieve a 15% reduction in monthly cloud expenditure.</w:t>
      </w:r>
    </w:p>
    <w:p>
      <w:pPr/>
      <w:r>
        <w:rPr>
          <w:rFonts w:ascii="Arial" w:hAnsi="Arial" w:cs="Arial"/>
          <w:sz w:val="30"/>
          <w:sz-cs w:val="30"/>
          <w:b/>
          <w:spacing w:val="0"/>
          <w:color w:val="1A1A1A"/>
        </w:rPr>
        <w:t xml:space="preserve">Inner Mongolia Power Group</w:t>
      </w:r>
      <w:r>
        <w:rPr>
          <w:rFonts w:ascii="Arial" w:hAnsi="Arial" w:cs="Arial"/>
          <w:sz w:val="29"/>
          <w:sz-cs w:val="29"/>
          <w:spacing w:val="0"/>
          <w:color w:val="1A1A1A"/>
        </w:rPr>
        <w:t xml:space="preserve"> — </w:t>
      </w:r>
      <w:r>
        <w:rPr>
          <w:rFonts w:ascii="Arial" w:hAnsi="Arial" w:cs="Arial"/>
          <w:sz w:val="29"/>
          <w:sz-cs w:val="29"/>
          <w:i/>
          <w:spacing w:val="0"/>
          <w:color w:val="1A1A1A"/>
        </w:rPr>
        <w:t xml:space="preserve">Hybrid Cloud Architect / Senior SRE / DevOps</w:t>
      </w:r>
      <w:r>
        <w:rPr>
          <w:rFonts w:ascii="Arial" w:hAnsi="Arial" w:cs="Arial"/>
          <w:sz w:val="29"/>
          <w:sz-cs w:val="29"/>
          <w:spacing w:val="0"/>
          <w:color w:val="1A1A1A"/>
        </w:rPr>
        <w:t xml:space="preserve"/>
      </w:r>
    </w:p>
    <w:p>
      <w:pPr>
        <w:jc w:val="right"/>
      </w:pPr>
      <w:r>
        <w:rPr>
          <w:rFonts w:ascii="Arial" w:hAnsi="Arial" w:cs="Arial"/>
          <w:sz w:val="26"/>
          <w:sz-cs w:val="26"/>
          <w:b/>
          <w:spacing w:val="0"/>
          <w:color w:val="434343"/>
        </w:rPr>
        <w:t xml:space="preserve">Apr 2021 – Dec 2025</w:t>
      </w:r>
    </w:p>
    <w:p>
      <w:pPr/>
      <w:r>
        <w:rPr>
          <w:rFonts w:ascii="Arial" w:hAnsi="Arial" w:cs="Arial"/>
          <w:sz w:val="26"/>
          <w:sz-cs w:val="26"/>
          <w:i/>
          <w:spacing w:val="0"/>
          <w:color w:val="434343"/>
        </w:rPr>
        <w:t xml:space="preserve">Large-scale state-owned power grid enterprise, managing power dispatch grids and core business networks.</w:t>
      </w:r>
    </w:p>
    <w:p>
      <w:pPr/>
      <w:r>
        <w:rPr>
          <w:rFonts w:ascii="Arial" w:hAnsi="Arial" w:cs="Arial"/>
          <w:sz w:val="28"/>
          <w:sz-cs w:val="28"/>
          <w:b/>
          <w:spacing w:val="0"/>
          <w:color w:val="262626"/>
        </w:rPr>
        <w:t xml:space="preserve">Project 1: Hybrid Cloud Infrastructure &amp; SRE Operations Governance</w:t>
      </w:r>
    </w:p>
    <w:p>
      <w:pPr>
        <w:jc w:val="both"/>
        <w:ind w:left="720" w:first-line="-720"/>
        <w:spacing w:after="80"/>
      </w:pPr>
      <w:r>
        <w:rPr>
          <w:rFonts w:ascii="Arial" w:hAnsi="Arial" w:cs="Arial"/>
          <w:sz w:val="26"/>
          <w:sz-cs w:val="26"/>
          <w:b/>
          <w:color w:val="1A1A1A"/>
        </w:rPr>
        <w:t xml:space="preserve"/>
        <w:tab/>
        <w:t xml:space="preserve">•</w:t>
        <w:tab/>
        <w:t xml:space="preserve"/>
      </w:r>
      <w:r>
        <w:rPr>
          <w:rFonts w:ascii="Arial" w:hAnsi="Arial" w:cs="Arial"/>
          <w:sz w:val="26"/>
          <w:sz-cs w:val="26"/>
          <w:b/>
          <w:spacing w:val="0"/>
          <w:color w:val="1A1A1A"/>
        </w:rPr>
        <w:t xml:space="preserve">Multi-Cloud Design &amp; High Availability:</w:t>
      </w:r>
      <w:r>
        <w:rPr>
          <w:rFonts w:ascii="Arial" w:hAnsi="Arial" w:cs="Arial"/>
          <w:sz w:val="26"/>
          <w:sz-cs w:val="26"/>
          <w:spacing w:val="0"/>
          <w:color w:val="1A1A1A"/>
        </w:rPr>
        <w:t xml:space="preserve"> Spearheaded the dual-platform architecture (Alibaba Cloud and Huawei Cloud) managing over 2,200 nodes. Engineered cross-AZ Disaster Recovery (DR) configuration, achieving SLA uptime of 99.99%.</w:t>
      </w:r>
    </w:p>
    <w:p>
      <w:pPr>
        <w:jc w:val="both"/>
        <w:ind w:left="720" w:first-line="-720"/>
        <w:spacing w:after="80"/>
      </w:pPr>
      <w:r>
        <w:rPr>
          <w:rFonts w:ascii="Arial" w:hAnsi="Arial" w:cs="Arial"/>
          <w:sz w:val="26"/>
          <w:sz-cs w:val="26"/>
          <w:b/>
          <w:color w:val="1A1A1A"/>
        </w:rPr>
        <w:t xml:space="preserve"/>
        <w:tab/>
        <w:t xml:space="preserve">•</w:t>
        <w:tab/>
        <w:t xml:space="preserve"/>
      </w:r>
      <w:r>
        <w:rPr>
          <w:rFonts w:ascii="Arial" w:hAnsi="Arial" w:cs="Arial"/>
          <w:sz w:val="26"/>
          <w:sz-cs w:val="26"/>
          <w:b/>
          <w:spacing w:val="0"/>
          <w:color w:val="1A1A1A"/>
        </w:rPr>
        <w:t xml:space="preserve">Infrastructure as Code (IaC):</w:t>
      </w:r>
      <w:r>
        <w:rPr>
          <w:rFonts w:ascii="Arial" w:hAnsi="Arial" w:cs="Arial"/>
          <w:sz w:val="26"/>
          <w:sz-cs w:val="26"/>
          <w:spacing w:val="0"/>
          <w:color w:val="1A1A1A"/>
        </w:rPr>
        <w:t xml:space="preserve"> Devised and maintained Terraform configurations and Ansible Playbooks for multi-cloud deployments, compressing resource delivery cycles from days to minutes.</w:t>
      </w:r>
    </w:p>
    <w:p>
      <w:pPr>
        <w:jc w:val="both"/>
        <w:ind w:left="720" w:first-line="-720"/>
        <w:spacing w:after="80"/>
      </w:pPr>
      <w:r>
        <w:rPr>
          <w:rFonts w:ascii="Arial" w:hAnsi="Arial" w:cs="Arial"/>
          <w:sz w:val="26"/>
          <w:sz-cs w:val="26"/>
          <w:b/>
          <w:color w:val="1A1A1A"/>
        </w:rPr>
        <w:t xml:space="preserve"/>
        <w:tab/>
        <w:t xml:space="preserve">•</w:t>
        <w:tab/>
        <w:t xml:space="preserve"/>
      </w:r>
      <w:r>
        <w:rPr>
          <w:rFonts w:ascii="Arial" w:hAnsi="Arial" w:cs="Arial"/>
          <w:sz w:val="26"/>
          <w:sz-cs w:val="26"/>
          <w:b/>
          <w:spacing w:val="0"/>
          <w:color w:val="1A1A1A"/>
        </w:rPr>
        <w:t xml:space="preserve">Observability Platform Integration:</w:t>
      </w:r>
      <w:r>
        <w:rPr>
          <w:rFonts w:ascii="Arial" w:hAnsi="Arial" w:cs="Arial"/>
          <w:sz w:val="26"/>
          <w:sz-cs w:val="26"/>
          <w:spacing w:val="0"/>
          <w:color w:val="1A1A1A"/>
        </w:rPr>
        <w:t xml:space="preserve"> Automated logging and monitoring aggregation, consolidating disparate vendor tools into a centralized Prometheus framework based on site reliability Golden Signals to provide real-time proactive alerts.</w:t>
      </w:r>
    </w:p>
    <w:p>
      <w:pPr>
        <w:jc w:val="both"/>
        <w:ind w:left="720" w:first-line="-720"/>
        <w:spacing w:after="80"/>
      </w:pPr>
      <w:r>
        <w:rPr>
          <w:rFonts w:ascii="Arial" w:hAnsi="Arial" w:cs="Arial"/>
          <w:sz w:val="26"/>
          <w:sz-cs w:val="26"/>
          <w:b/>
          <w:color w:val="1A1A1A"/>
        </w:rPr>
        <w:t xml:space="preserve"/>
        <w:tab/>
        <w:t xml:space="preserve">•</w:t>
        <w:tab/>
        <w:t xml:space="preserve"/>
      </w:r>
      <w:r>
        <w:rPr>
          <w:rFonts w:ascii="Arial" w:hAnsi="Arial" w:cs="Arial"/>
          <w:sz w:val="26"/>
          <w:sz-cs w:val="26"/>
          <w:b/>
          <w:spacing w:val="0"/>
          <w:color w:val="1A1A1A"/>
        </w:rPr>
        <w:t xml:space="preserve">Incident Resolution &amp; Self-healing:</w:t>
      </w:r>
      <w:r>
        <w:rPr>
          <w:rFonts w:ascii="Arial" w:hAnsi="Arial" w:cs="Arial"/>
          <w:sz w:val="26"/>
          <w:sz-cs w:val="26"/>
          <w:spacing w:val="0"/>
          <w:color w:val="1A1A1A"/>
        </w:rPr>
        <w:t xml:space="preserve"> Served as Level-2/3 escalation contact for major incidents. Programmed automated remediation scripts to recover from common system faults, slicing manual maintenance hours.</w:t>
      </w:r>
    </w:p>
    <w:p>
      <w:pPr/>
      <w:r>
        <w:rPr>
          <w:rFonts w:ascii="Arial" w:hAnsi="Arial" w:cs="Arial"/>
          <w:sz w:val="28"/>
          <w:sz-cs w:val="28"/>
          <w:b/>
          <w:spacing w:val="0"/>
          <w:color w:val="262626"/>
        </w:rPr>
        <w:t xml:space="preserve">Project 2: End-to-End Operation Management of IoT Grid Control Platform</w:t>
      </w:r>
    </w:p>
    <w:p>
      <w:pPr>
        <w:jc w:val="both"/>
        <w:ind w:left="720" w:first-line="-720"/>
        <w:spacing w:after="80"/>
      </w:pPr>
      <w:r>
        <w:rPr>
          <w:rFonts w:ascii="Arial" w:hAnsi="Arial" w:cs="Arial"/>
          <w:sz w:val="26"/>
          <w:sz-cs w:val="26"/>
          <w:b/>
          <w:color w:val="1A1A1A"/>
        </w:rPr>
        <w:t xml:space="preserve"/>
        <w:tab/>
        <w:t xml:space="preserve">•</w:t>
        <w:tab/>
        <w:t xml:space="preserve"/>
      </w:r>
      <w:r>
        <w:rPr>
          <w:rFonts w:ascii="Arial" w:hAnsi="Arial" w:cs="Arial"/>
          <w:sz w:val="26"/>
          <w:sz-cs w:val="26"/>
          <w:b/>
          <w:spacing w:val="0"/>
          <w:color w:val="1A1A1A"/>
        </w:rPr>
        <w:t xml:space="preserve">Hybrid Deployment Architecture:</w:t>
      </w:r>
      <w:r>
        <w:rPr>
          <w:rFonts w:ascii="Arial" w:hAnsi="Arial" w:cs="Arial"/>
          <w:sz w:val="26"/>
          <w:sz-cs w:val="26"/>
          <w:spacing w:val="0"/>
          <w:color w:val="1A1A1A"/>
        </w:rPr>
        <w:t xml:space="preserve"> Architected the platform from 0 to 1, designing a secure hybrid deployment layout utilizing VMs for stateful databases/middleware and Kubernetes clusters for stateless microservices.</w:t>
      </w:r>
    </w:p>
    <w:p>
      <w:pPr>
        <w:jc w:val="both"/>
        <w:ind w:left="720" w:first-line="-720"/>
        <w:spacing w:after="80"/>
      </w:pPr>
      <w:r>
        <w:rPr>
          <w:rFonts w:ascii="Arial" w:hAnsi="Arial" w:cs="Arial"/>
          <w:sz w:val="26"/>
          <w:sz-cs w:val="26"/>
          <w:b/>
          <w:color w:val="1A1A1A"/>
        </w:rPr>
        <w:t xml:space="preserve"/>
        <w:tab/>
        <w:t xml:space="preserve">•</w:t>
        <w:tab/>
        <w:t xml:space="preserve"/>
      </w:r>
      <w:r>
        <w:rPr>
          <w:rFonts w:ascii="Arial" w:hAnsi="Arial" w:cs="Arial"/>
          <w:sz w:val="26"/>
          <w:sz-cs w:val="26"/>
          <w:b/>
          <w:spacing w:val="0"/>
          <w:color w:val="1A1A1A"/>
        </w:rPr>
        <w:t xml:space="preserve">Container Scaling Optimization:</w:t>
      </w:r>
      <w:r>
        <w:rPr>
          <w:rFonts w:ascii="Arial" w:hAnsi="Arial" w:cs="Arial"/>
          <w:sz w:val="26"/>
          <w:sz-cs w:val="26"/>
          <w:spacing w:val="0"/>
          <w:color w:val="1A1A1A"/>
        </w:rPr>
        <w:t xml:space="preserve"> Containerized mission-critical components (such as MQTT brokers) and configured fine-tuned Horizontal Pod Autoscaling (HPA) to maintain peak power dispatch loads smoothly.</w:t>
      </w:r>
    </w:p>
    <w:p>
      <w:pPr>
        <w:jc w:val="both"/>
        <w:ind w:left="720" w:first-line="-720"/>
        <w:spacing w:after="80"/>
      </w:pPr>
      <w:r>
        <w:rPr>
          <w:rFonts w:ascii="Arial" w:hAnsi="Arial" w:cs="Arial"/>
          <w:sz w:val="26"/>
          <w:sz-cs w:val="26"/>
          <w:b/>
          <w:color w:val="1A1A1A"/>
        </w:rPr>
        <w:t xml:space="preserve"/>
        <w:tab/>
        <w:t xml:space="preserve">•</w:t>
        <w:tab/>
        <w:t xml:space="preserve"/>
      </w:r>
      <w:r>
        <w:rPr>
          <w:rFonts w:ascii="Arial" w:hAnsi="Arial" w:cs="Arial"/>
          <w:sz w:val="26"/>
          <w:sz-cs w:val="26"/>
          <w:b/>
          <w:spacing w:val="0"/>
          <w:color w:val="1A1A1A"/>
        </w:rPr>
        <w:t xml:space="preserve">IoT Monitoring &amp; Tracing:</w:t>
      </w:r>
      <w:r>
        <w:rPr>
          <w:rFonts w:ascii="Arial" w:hAnsi="Arial" w:cs="Arial"/>
          <w:sz w:val="26"/>
          <w:sz-cs w:val="26"/>
          <w:spacing w:val="0"/>
          <w:color w:val="1A1A1A"/>
        </w:rPr>
        <w:t xml:space="preserve"> Integrated Apache Skywalking and ELK stack to map communication streams across grids, reducing average resolution and log analysis times by over 60%.</w:t>
      </w:r>
    </w:p>
    <w:p>
      <w:pPr>
        <w:jc w:val="both"/>
        <w:ind w:left="720" w:first-line="-720"/>
        <w:spacing w:after="80"/>
      </w:pPr>
      <w:r>
        <w:rPr>
          <w:rFonts w:ascii="Arial" w:hAnsi="Arial" w:cs="Arial"/>
          <w:sz w:val="26"/>
          <w:sz-cs w:val="26"/>
          <w:b/>
          <w:color w:val="1A1A1A"/>
        </w:rPr>
        <w:t xml:space="preserve"/>
        <w:tab/>
        <w:t xml:space="preserve">•</w:t>
        <w:tab/>
        <w:t xml:space="preserve"/>
      </w:r>
      <w:r>
        <w:rPr>
          <w:rFonts w:ascii="Arial" w:hAnsi="Arial" w:cs="Arial"/>
          <w:sz w:val="26"/>
          <w:sz-cs w:val="26"/>
          <w:b/>
          <w:spacing w:val="0"/>
          <w:color w:val="1A1A1A"/>
        </w:rPr>
        <w:t xml:space="preserve">Chaos Engineering:</w:t>
      </w:r>
      <w:r>
        <w:rPr>
          <w:rFonts w:ascii="Arial" w:hAnsi="Arial" w:cs="Arial"/>
          <w:sz w:val="26"/>
          <w:sz-cs w:val="26"/>
          <w:spacing w:val="0"/>
          <w:color w:val="1A1A1A"/>
        </w:rPr>
        <w:t xml:space="preserve"> Formulated systematic chaos testing drills to actively disrupt and verify redundancy protocols, eliminating single points of failure (SPOFs) and achieving zero unplanned downtime.</w:t>
      </w:r>
    </w:p>
    <w:p>
      <w:pPr/>
      <w:r>
        <w:rPr>
          <w:rFonts w:ascii="Arial" w:hAnsi="Arial" w:cs="Arial"/>
          <w:sz w:val="30"/>
          <w:sz-cs w:val="30"/>
          <w:b/>
          <w:spacing w:val="0"/>
          <w:color w:val="1A1A1A"/>
        </w:rPr>
        <w:t xml:space="preserve">China Mobile Communications Group (Inner Mongolia) Co., Ltd.</w:t>
      </w:r>
      <w:r>
        <w:rPr>
          <w:rFonts w:ascii="Arial" w:hAnsi="Arial" w:cs="Arial"/>
          <w:sz w:val="29"/>
          <w:sz-cs w:val="29"/>
          <w:spacing w:val="0"/>
          <w:color w:val="1A1A1A"/>
        </w:rPr>
        <w:t xml:space="preserve"> — </w:t>
      </w:r>
      <w:r>
        <w:rPr>
          <w:rFonts w:ascii="Arial" w:hAnsi="Arial" w:cs="Arial"/>
          <w:sz w:val="29"/>
          <w:sz-cs w:val="29"/>
          <w:i/>
          <w:spacing w:val="0"/>
          <w:color w:val="1A1A1A"/>
        </w:rPr>
        <w:t xml:space="preserve">SRE DevOps &amp; Pre-sales Consultant</w:t>
      </w:r>
      <w:r>
        <w:rPr>
          <w:rFonts w:ascii="Arial" w:hAnsi="Arial" w:cs="Arial"/>
          <w:sz w:val="29"/>
          <w:sz-cs w:val="29"/>
          <w:spacing w:val="0"/>
          <w:color w:val="1A1A1A"/>
        </w:rPr>
        <w:t xml:space="preserve"/>
      </w:r>
    </w:p>
    <w:p>
      <w:pPr>
        <w:jc w:val="right"/>
      </w:pPr>
      <w:r>
        <w:rPr>
          <w:rFonts w:ascii="Arial" w:hAnsi="Arial" w:cs="Arial"/>
          <w:sz w:val="26"/>
          <w:sz-cs w:val="26"/>
          <w:b/>
          <w:spacing w:val="0"/>
          <w:color w:val="434343"/>
        </w:rPr>
        <w:t xml:space="preserve">Aug 2018 – Apr 2021</w:t>
      </w:r>
    </w:p>
    <w:p>
      <w:pPr/>
      <w:r>
        <w:rPr>
          <w:rFonts w:ascii="Arial" w:hAnsi="Arial" w:cs="Arial"/>
          <w:sz w:val="26"/>
          <w:sz-cs w:val="26"/>
          <w:i/>
          <w:spacing w:val="0"/>
          <w:color w:val="434343"/>
        </w:rPr>
        <w:t xml:space="preserve">Regional branch of China's largest telecom carrier, providing telecommunication services, private networking, and digital enterprise solutions.</w:t>
      </w:r>
    </w:p>
    <w:p>
      <w:pPr/>
      <w:r>
        <w:rPr>
          <w:rFonts w:ascii="Arial" w:hAnsi="Arial" w:cs="Arial"/>
          <w:sz w:val="28"/>
          <w:sz-cs w:val="28"/>
          <w:b/>
          <w:spacing w:val="0"/>
          <w:color w:val="262626"/>
        </w:rPr>
        <w:t xml:space="preserve">Project 1: Cloud-Native Platform Integration &amp; SRE Management</w:t>
      </w:r>
    </w:p>
    <w:p>
      <w:pPr>
        <w:jc w:val="both"/>
        <w:ind w:left="720" w:first-line="-720"/>
        <w:spacing w:after="80"/>
      </w:pPr>
      <w:r>
        <w:rPr>
          <w:rFonts w:ascii="Arial" w:hAnsi="Arial" w:cs="Arial"/>
          <w:sz w:val="26"/>
          <w:sz-cs w:val="26"/>
          <w:b/>
          <w:color w:val="1A1A1A"/>
        </w:rPr>
        <w:t xml:space="preserve"/>
        <w:tab/>
        <w:t xml:space="preserve">•</w:t>
        <w:tab/>
        <w:t xml:space="preserve"/>
      </w:r>
      <w:r>
        <w:rPr>
          <w:rFonts w:ascii="Arial" w:hAnsi="Arial" w:cs="Arial"/>
          <w:sz w:val="26"/>
          <w:sz-cs w:val="26"/>
          <w:b/>
          <w:spacing w:val="0"/>
          <w:color w:val="1A1A1A"/>
        </w:rPr>
        <w:t xml:space="preserve">DCOS Platform Operation:</w:t>
      </w:r>
      <w:r>
        <w:rPr>
          <w:rFonts w:ascii="Arial" w:hAnsi="Arial" w:cs="Arial"/>
          <w:sz w:val="26"/>
          <w:sz-cs w:val="26"/>
          <w:spacing w:val="0"/>
          <w:color w:val="1A1A1A"/>
        </w:rPr>
        <w:t xml:space="preserve"> Maintained a high-density DCOS container platform utilizing Kubernetes, Calico networking, Prometheus, and EFK stack, leveraging Helm charts and Operators for unified components standardization.</w:t>
      </w:r>
    </w:p>
    <w:p>
      <w:pPr>
        <w:jc w:val="both"/>
        <w:ind w:left="720" w:first-line="-720"/>
        <w:spacing w:after="80"/>
      </w:pPr>
      <w:r>
        <w:rPr>
          <w:rFonts w:ascii="Arial" w:hAnsi="Arial" w:cs="Arial"/>
          <w:sz w:val="26"/>
          <w:sz-cs w:val="26"/>
          <w:b/>
          <w:color w:val="1A1A1A"/>
        </w:rPr>
        <w:t xml:space="preserve"/>
        <w:tab/>
        <w:t xml:space="preserve">•</w:t>
        <w:tab/>
        <w:t xml:space="preserve"/>
      </w:r>
      <w:r>
        <w:rPr>
          <w:rFonts w:ascii="Arial" w:hAnsi="Arial" w:cs="Arial"/>
          <w:sz w:val="26"/>
          <w:sz-cs w:val="26"/>
          <w:b/>
          <w:spacing w:val="0"/>
          <w:color w:val="1A1A1A"/>
        </w:rPr>
        <w:t xml:space="preserve">Full Lifecycle Governance:</w:t>
      </w:r>
      <w:r>
        <w:rPr>
          <w:rFonts w:ascii="Arial" w:hAnsi="Arial" w:cs="Arial"/>
          <w:sz w:val="26"/>
          <w:sz-cs w:val="26"/>
          <w:spacing w:val="0"/>
          <w:color w:val="1A1A1A"/>
        </w:rPr>
        <w:t xml:space="preserve"> Supervised the complete service lifecycle from architectural drafting to final post-deployment optimizations. Designed deep-level monitoring structures via Prometheus and Alertmanager to streamline pager alerts.</w:t>
      </w:r>
    </w:p>
    <w:p>
      <w:pPr>
        <w:jc w:val="both"/>
        <w:ind w:left="720" w:first-line="-720"/>
        <w:spacing w:after="80"/>
      </w:pPr>
      <w:r>
        <w:rPr>
          <w:rFonts w:ascii="Arial" w:hAnsi="Arial" w:cs="Arial"/>
          <w:sz w:val="26"/>
          <w:sz-cs w:val="26"/>
          <w:b/>
          <w:color w:val="1A1A1A"/>
        </w:rPr>
        <w:t xml:space="preserve"/>
        <w:tab/>
        <w:t xml:space="preserve">•</w:t>
        <w:tab/>
        <w:t xml:space="preserve"/>
      </w:r>
      <w:r>
        <w:rPr>
          <w:rFonts w:ascii="Arial" w:hAnsi="Arial" w:cs="Arial"/>
          <w:sz w:val="26"/>
          <w:sz-cs w:val="26"/>
          <w:b/>
          <w:spacing w:val="0"/>
          <w:color w:val="1A1A1A"/>
        </w:rPr>
        <w:t xml:space="preserve">Multi-tenancy &amp; Isolation:</w:t>
      </w:r>
      <w:r>
        <w:rPr>
          <w:rFonts w:ascii="Arial" w:hAnsi="Arial" w:cs="Arial"/>
          <w:sz w:val="26"/>
          <w:sz-cs w:val="26"/>
          <w:spacing w:val="0"/>
          <w:color w:val="1A1A1A"/>
        </w:rPr>
        <w:t xml:space="preserve"> Integrated centralized LDAP directory authorization, tuned OpenResty ingress configs for precise load balancing, and established strict namespace policies (Quotas/Limits) to assure multi-tenant workspace isolation.</w:t>
      </w:r>
    </w:p>
    <w:p>
      <w:pPr/>
      <w:r>
        <w:rPr>
          <w:rFonts w:ascii="Arial" w:hAnsi="Arial" w:cs="Arial"/>
          <w:sz w:val="28"/>
          <w:sz-cs w:val="28"/>
          <w:b/>
          <w:spacing w:val="0"/>
          <w:color w:val="262626"/>
        </w:rPr>
        <w:t xml:space="preserve">Project 2: Solution Consulting &amp; IT Infrastructure Pre-sales</w:t>
      </w:r>
    </w:p>
    <w:p>
      <w:pPr>
        <w:jc w:val="both"/>
        <w:ind w:left="720" w:first-line="-720"/>
        <w:spacing w:after="80"/>
      </w:pPr>
      <w:r>
        <w:rPr>
          <w:rFonts w:ascii="Arial" w:hAnsi="Arial" w:cs="Arial"/>
          <w:sz w:val="26"/>
          <w:sz-cs w:val="26"/>
          <w:b/>
          <w:color w:val="1A1A1A"/>
        </w:rPr>
        <w:t xml:space="preserve"/>
        <w:tab/>
        <w:t xml:space="preserve">•</w:t>
        <w:tab/>
        <w:t xml:space="preserve"/>
      </w:r>
      <w:r>
        <w:rPr>
          <w:rFonts w:ascii="Arial" w:hAnsi="Arial" w:cs="Arial"/>
          <w:sz w:val="26"/>
          <w:sz-cs w:val="26"/>
          <w:b/>
          <w:spacing w:val="0"/>
          <w:color w:val="1A1A1A"/>
        </w:rPr>
        <w:t xml:space="preserve">Strategic Consulting:</w:t>
      </w:r>
      <w:r>
        <w:rPr>
          <w:rFonts w:ascii="Arial" w:hAnsi="Arial" w:cs="Arial"/>
          <w:sz w:val="26"/>
          <w:sz-cs w:val="26"/>
          <w:spacing w:val="0"/>
          <w:color w:val="1A1A1A"/>
        </w:rPr>
        <w:t xml:space="preserve"> Acted as technical interface to major enterprise clients, conducting requirements gathering, composing project blueprints, feasibility studies (FS), and roadmap directions.</w:t>
      </w:r>
    </w:p>
    <w:p>
      <w:pPr>
        <w:jc w:val="both"/>
        <w:ind w:left="720" w:first-line="-720"/>
        <w:spacing w:after="80"/>
      </w:pPr>
      <w:r>
        <w:rPr>
          <w:rFonts w:ascii="Arial" w:hAnsi="Arial" w:cs="Arial"/>
          <w:sz w:val="26"/>
          <w:sz-cs w:val="26"/>
          <w:b/>
          <w:color w:val="1A1A1A"/>
        </w:rPr>
        <w:t xml:space="preserve"/>
        <w:tab/>
        <w:t xml:space="preserve">•</w:t>
        <w:tab/>
        <w:t xml:space="preserve"/>
      </w:r>
      <w:r>
        <w:rPr>
          <w:rFonts w:ascii="Arial" w:hAnsi="Arial" w:cs="Arial"/>
          <w:sz w:val="26"/>
          <w:sz-cs w:val="26"/>
          <w:b/>
          <w:spacing w:val="0"/>
          <w:color w:val="1A1A1A"/>
        </w:rPr>
        <w:t xml:space="preserve">Bid Proposal &amp; Technical Support:</w:t>
      </w:r>
      <w:r>
        <w:rPr>
          <w:rFonts w:ascii="Arial" w:hAnsi="Arial" w:cs="Arial"/>
          <w:sz w:val="26"/>
          <w:sz-cs w:val="26"/>
          <w:spacing w:val="0"/>
          <w:color w:val="1A1A1A"/>
        </w:rPr>
        <w:t xml:space="preserve"> Collaborated with sales leads, presenting architectural demonstrations and calculating accurate cost estimations. Generated comprehensive system integration layouts spanning cloud deployments, disaster recovery, big data pools, and 4G/5G private network architectures.</w:t>
      </w:r>
    </w:p>
    <w:p>
      <w:pPr/>
      <w:r>
        <w:rPr>
          <w:rFonts w:ascii="Arial" w:hAnsi="Arial" w:cs="Arial"/>
          <w:sz w:val="30"/>
          <w:sz-cs w:val="30"/>
          <w:b/>
          <w:spacing w:val="0"/>
          <w:color w:val="1A1A1A"/>
        </w:rPr>
        <w:t xml:space="preserve">Inner Mongolia Yunke Data Service Co., Ltd.</w:t>
      </w:r>
      <w:r>
        <w:rPr>
          <w:rFonts w:ascii="Arial" w:hAnsi="Arial" w:cs="Arial"/>
          <w:sz w:val="29"/>
          <w:sz-cs w:val="29"/>
          <w:spacing w:val="0"/>
          <w:color w:val="1A1A1A"/>
        </w:rPr>
        <w:t xml:space="preserve"> — </w:t>
      </w:r>
      <w:r>
        <w:rPr>
          <w:rFonts w:ascii="Arial" w:hAnsi="Arial" w:cs="Arial"/>
          <w:sz w:val="29"/>
          <w:sz-cs w:val="29"/>
          <w:i/>
          <w:spacing w:val="0"/>
          <w:color w:val="1A1A1A"/>
        </w:rPr>
        <w:t xml:space="preserve">Cloud Infrastructure Engineer / DevOps Team Lead</w:t>
      </w:r>
      <w:r>
        <w:rPr>
          <w:rFonts w:ascii="Arial" w:hAnsi="Arial" w:cs="Arial"/>
          <w:sz w:val="29"/>
          <w:sz-cs w:val="29"/>
          <w:spacing w:val="0"/>
          <w:color w:val="1A1A1A"/>
        </w:rPr>
        <w:t xml:space="preserve"/>
      </w:r>
    </w:p>
    <w:p>
      <w:pPr>
        <w:jc w:val="right"/>
      </w:pPr>
      <w:r>
        <w:rPr>
          <w:rFonts w:ascii="Arial" w:hAnsi="Arial" w:cs="Arial"/>
          <w:sz w:val="26"/>
          <w:sz-cs w:val="26"/>
          <w:b/>
          <w:spacing w:val="0"/>
          <w:color w:val="434343"/>
        </w:rPr>
        <w:t xml:space="preserve">Feb 2016 – Aug 2018</w:t>
      </w:r>
    </w:p>
    <w:p>
      <w:pPr/>
      <w:r>
        <w:rPr>
          <w:rFonts w:ascii="Arial" w:hAnsi="Arial" w:cs="Arial"/>
          <w:sz w:val="26"/>
          <w:sz-cs w:val="26"/>
          <w:i/>
          <w:spacing w:val="0"/>
          <w:color w:val="434343"/>
        </w:rPr>
        <w:t xml:space="preserve">Regional cloud service provider and data center operator specializing in private cloud deployments and virtualization architectures.</w:t>
      </w:r>
    </w:p>
    <w:p>
      <w:pPr/>
      <w:r>
        <w:rPr>
          <w:rFonts w:ascii="Arial" w:hAnsi="Arial" w:cs="Arial"/>
          <w:sz w:val="28"/>
          <w:sz-cs w:val="28"/>
          <w:b/>
          <w:spacing w:val="0"/>
          <w:color w:val="262626"/>
        </w:rPr>
        <w:t xml:space="preserve">Project 1: High-Performance OpenStack Private Cloud Deployment</w:t>
      </w:r>
    </w:p>
    <w:p>
      <w:pPr>
        <w:jc w:val="both"/>
        <w:ind w:left="720" w:first-line="-720"/>
        <w:spacing w:after="80"/>
      </w:pPr>
      <w:r>
        <w:rPr>
          <w:rFonts w:ascii="Arial" w:hAnsi="Arial" w:cs="Arial"/>
          <w:sz w:val="26"/>
          <w:sz-cs w:val="26"/>
          <w:b/>
          <w:color w:val="1A1A1A"/>
        </w:rPr>
        <w:t xml:space="preserve"/>
        <w:tab/>
        <w:t xml:space="preserve">•</w:t>
        <w:tab/>
        <w:t xml:space="preserve"/>
      </w:r>
      <w:r>
        <w:rPr>
          <w:rFonts w:ascii="Arial" w:hAnsi="Arial" w:cs="Arial"/>
          <w:sz w:val="26"/>
          <w:sz-cs w:val="26"/>
          <w:b/>
          <w:spacing w:val="0"/>
          <w:color w:val="1A1A1A"/>
        </w:rPr>
        <w:t xml:space="preserve">Automated Deployments (IaC):</w:t>
      </w:r>
      <w:r>
        <w:rPr>
          <w:rFonts w:ascii="Arial" w:hAnsi="Arial" w:cs="Arial"/>
          <w:sz w:val="26"/>
          <w:sz-cs w:val="26"/>
          <w:spacing w:val="0"/>
          <w:color w:val="1A1A1A"/>
        </w:rPr>
        <w:t xml:space="preserve"> Programmed custom Ansible Playbooks to deploy a multi-node OpenStack private cloud running thousands of VM instances, accelerating environment provisioning times from weeks to hours.</w:t>
      </w:r>
    </w:p>
    <w:p>
      <w:pPr>
        <w:jc w:val="both"/>
        <w:ind w:left="720" w:first-line="-720"/>
        <w:spacing w:after="80"/>
      </w:pPr>
      <w:r>
        <w:rPr>
          <w:rFonts w:ascii="Arial" w:hAnsi="Arial" w:cs="Arial"/>
          <w:sz w:val="26"/>
          <w:sz-cs w:val="26"/>
          <w:b/>
          <w:color w:val="1A1A1A"/>
        </w:rPr>
        <w:t xml:space="preserve"/>
        <w:tab/>
        <w:t xml:space="preserve">•</w:t>
        <w:tab/>
        <w:t xml:space="preserve"/>
      </w:r>
      <w:r>
        <w:rPr>
          <w:rFonts w:ascii="Arial" w:hAnsi="Arial" w:cs="Arial"/>
          <w:sz w:val="26"/>
          <w:sz-cs w:val="26"/>
          <w:b/>
          <w:spacing w:val="0"/>
          <w:color w:val="1A1A1A"/>
        </w:rPr>
        <w:t xml:space="preserve">Control Plane Redundancy:</w:t>
      </w:r>
      <w:r>
        <w:rPr>
          <w:rFonts w:ascii="Arial" w:hAnsi="Arial" w:cs="Arial"/>
          <w:sz w:val="26"/>
          <w:sz-cs w:val="26"/>
          <w:spacing w:val="0"/>
          <w:color w:val="1A1A1A"/>
        </w:rPr>
        <w:t xml:space="preserve"> Designed active-active high-availability (HA) setups for OpenStack microservices (RabbitMQ, MariaDB, Keystone) using HAProxy and Keepalived to deliver a resilient SLA of 99.9%.</w:t>
      </w:r>
    </w:p>
    <w:p>
      <w:pPr>
        <w:jc w:val="both"/>
        <w:ind w:left="720" w:first-line="-720"/>
        <w:spacing w:after="80"/>
      </w:pPr>
      <w:r>
        <w:rPr>
          <w:rFonts w:ascii="Arial" w:hAnsi="Arial" w:cs="Arial"/>
          <w:sz w:val="26"/>
          <w:sz-cs w:val="26"/>
          <w:b/>
          <w:color w:val="1A1A1A"/>
        </w:rPr>
        <w:t xml:space="preserve"/>
        <w:tab/>
        <w:t xml:space="preserve">•</w:t>
        <w:tab/>
        <w:t xml:space="preserve"/>
      </w:r>
      <w:r>
        <w:rPr>
          <w:rFonts w:ascii="Arial" w:hAnsi="Arial" w:cs="Arial"/>
          <w:sz w:val="26"/>
          <w:sz-cs w:val="26"/>
          <w:b/>
          <w:spacing w:val="0"/>
          <w:color w:val="1A1A1A"/>
        </w:rPr>
        <w:t xml:space="preserve">Kernel Level Virtualization Optimization:</w:t>
      </w:r>
      <w:r>
        <w:rPr>
          <w:rFonts w:ascii="Arial" w:hAnsi="Arial" w:cs="Arial"/>
          <w:sz w:val="26"/>
          <w:sz-cs w:val="26"/>
          <w:spacing w:val="0"/>
          <w:color w:val="1A1A1A"/>
        </w:rPr>
        <w:t xml:space="preserve"> Researched virtualization whitepapers and implemented low-level hypervisor modifications (CPU Pinning, Hugepages allocation), reducing disk and network I/O latencies for mission-critical DB instances.</w:t>
      </w:r>
    </w:p>
    <w:p>
      <w:pPr/>
      <w:r>
        <w:rPr>
          <w:rFonts w:ascii="Arial" w:hAnsi="Arial" w:cs="Arial"/>
          <w:sz w:val="28"/>
          <w:sz-cs w:val="28"/>
          <w:b/>
          <w:spacing w:val="0"/>
          <w:color w:val="262626"/>
        </w:rPr>
        <w:t xml:space="preserve">Project 2: PB-Scale Ceph Distributed Storage Administration</w:t>
      </w:r>
    </w:p>
    <w:p>
      <w:pPr>
        <w:jc w:val="both"/>
        <w:ind w:left="720" w:first-line="-720"/>
        <w:spacing w:after="80"/>
      </w:pPr>
      <w:r>
        <w:rPr>
          <w:rFonts w:ascii="Arial" w:hAnsi="Arial" w:cs="Arial"/>
          <w:sz w:val="26"/>
          <w:sz-cs w:val="26"/>
          <w:b/>
          <w:color w:val="1A1A1A"/>
        </w:rPr>
        <w:t xml:space="preserve"/>
        <w:tab/>
        <w:t xml:space="preserve">•</w:t>
        <w:tab/>
        <w:t xml:space="preserve"/>
      </w:r>
      <w:r>
        <w:rPr>
          <w:rFonts w:ascii="Arial" w:hAnsi="Arial" w:cs="Arial"/>
          <w:sz w:val="26"/>
          <w:sz-cs w:val="26"/>
          <w:b/>
          <w:spacing w:val="0"/>
          <w:color w:val="1A1A1A"/>
        </w:rPr>
        <w:t xml:space="preserve">No-Downtime Infrastructure:</w:t>
      </w:r>
      <w:r>
        <w:rPr>
          <w:rFonts w:ascii="Arial" w:hAnsi="Arial" w:cs="Arial"/>
          <w:sz w:val="26"/>
          <w:sz-cs w:val="26"/>
          <w:spacing w:val="0"/>
          <w:color w:val="1A1A1A"/>
        </w:rPr>
        <w:t xml:space="preserve"> Managed a Petabyte-scale Ceph storage cluster. Established strict Standard Operating Procedures (SOP) for automated hot-swapping failed drives and cluster horizontal expansions with zero customer-facing downtime.</w:t>
      </w:r>
    </w:p>
    <w:p>
      <w:pPr>
        <w:jc w:val="both"/>
        <w:ind w:left="720" w:first-line="-720"/>
        <w:spacing w:after="80"/>
      </w:pPr>
      <w:r>
        <w:rPr>
          <w:rFonts w:ascii="Arial" w:hAnsi="Arial" w:cs="Arial"/>
          <w:sz w:val="26"/>
          <w:sz-cs w:val="26"/>
          <w:b/>
          <w:color w:val="1A1A1A"/>
        </w:rPr>
        <w:t xml:space="preserve"/>
        <w:tab/>
        <w:t xml:space="preserve">•</w:t>
        <w:tab/>
        <w:t xml:space="preserve"/>
      </w:r>
      <w:r>
        <w:rPr>
          <w:rFonts w:ascii="Arial" w:hAnsi="Arial" w:cs="Arial"/>
          <w:sz w:val="26"/>
          <w:sz-cs w:val="26"/>
          <w:b/>
          <w:spacing w:val="0"/>
          <w:color w:val="1A1A1A"/>
        </w:rPr>
        <w:t xml:space="preserve">CRUSH Map Tuning &amp; Reliability:</w:t>
      </w:r>
      <w:r>
        <w:rPr>
          <w:rFonts w:ascii="Arial" w:hAnsi="Arial" w:cs="Arial"/>
          <w:sz w:val="26"/>
          <w:sz-cs w:val="26"/>
          <w:spacing w:val="0"/>
          <w:color w:val="1A1A1A"/>
        </w:rPr>
        <w:t xml:space="preserve"> Tailored CRUSH map rule sets to match server topologies, enforcing data replicas distribution across physical server racks to achieve reliable data redundancy.</w:t>
      </w:r>
    </w:p>
    <w:p>
      <w:pPr>
        <w:jc w:val="both"/>
        <w:ind w:left="720" w:first-line="-720"/>
        <w:spacing w:after="80"/>
      </w:pPr>
      <w:r>
        <w:rPr>
          <w:rFonts w:ascii="Arial" w:hAnsi="Arial" w:cs="Arial"/>
          <w:sz w:val="26"/>
          <w:sz-cs w:val="26"/>
          <w:b/>
          <w:color w:val="1A1A1A"/>
        </w:rPr>
        <w:t xml:space="preserve"/>
        <w:tab/>
        <w:t xml:space="preserve">•</w:t>
        <w:tab/>
        <w:t xml:space="preserve"/>
      </w:r>
      <w:r>
        <w:rPr>
          <w:rFonts w:ascii="Arial" w:hAnsi="Arial" w:cs="Arial"/>
          <w:sz w:val="26"/>
          <w:sz-cs w:val="26"/>
          <w:b/>
          <w:spacing w:val="0"/>
          <w:color w:val="1A1A1A"/>
        </w:rPr>
        <w:t xml:space="preserve">Benchmarking &amp; Scaling:</w:t>
      </w:r>
      <w:r>
        <w:rPr>
          <w:rFonts w:ascii="Arial" w:hAnsi="Arial" w:cs="Arial"/>
          <w:sz w:val="26"/>
          <w:sz-cs w:val="26"/>
          <w:spacing w:val="0"/>
          <w:color w:val="1A1A1A"/>
        </w:rPr>
        <w:t xml:space="preserve"> Conducted stress testing via FIO/Rados-bench, optimized MTU sizes (Jumbo Frames) on 10G networks, boosting cluster throughput during heavy backup cycles.</w:t>
      </w:r>
    </w:p>
    <w:p>
      <w:pPr/>
      <w:r>
        <w:rPr>
          <w:rFonts w:ascii="Arial" w:hAnsi="Arial" w:cs="Arial"/>
          <w:sz w:val="28"/>
          <w:sz-cs w:val="28"/>
          <w:b/>
          <w:spacing w:val="0"/>
          <w:color w:val="262626"/>
        </w:rPr>
        <w:t xml:space="preserve">Project 3: L2 Expert Support for Meteorological Bureau Private Cloud</w:t>
      </w:r>
    </w:p>
    <w:p>
      <w:pPr>
        <w:jc w:val="both"/>
        <w:ind w:left="720" w:first-line="-720"/>
        <w:spacing w:after="80"/>
      </w:pPr>
      <w:r>
        <w:rPr>
          <w:rFonts w:ascii="Arial" w:hAnsi="Arial" w:cs="Arial"/>
          <w:sz w:val="26"/>
          <w:sz-cs w:val="26"/>
          <w:b/>
          <w:color w:val="1A1A1A"/>
        </w:rPr>
        <w:t xml:space="preserve"/>
        <w:tab/>
        <w:t xml:space="preserve">•</w:t>
        <w:tab/>
        <w:t xml:space="preserve"/>
      </w:r>
      <w:r>
        <w:rPr>
          <w:rFonts w:ascii="Arial" w:hAnsi="Arial" w:cs="Arial"/>
          <w:sz w:val="26"/>
          <w:sz-cs w:val="26"/>
          <w:b/>
          <w:spacing w:val="0"/>
          <w:color w:val="1A1A1A"/>
        </w:rPr>
        <w:t xml:space="preserve">Full-Stack Observability:</w:t>
      </w:r>
      <w:r>
        <w:rPr>
          <w:rFonts w:ascii="Arial" w:hAnsi="Arial" w:cs="Arial"/>
          <w:sz w:val="26"/>
          <w:sz-cs w:val="26"/>
          <w:spacing w:val="0"/>
          <w:color w:val="1A1A1A"/>
        </w:rPr>
        <w:t xml:space="preserve"> Structured a multi-tier monitoring setup using Zabbix and Grafana, mapping indicators from server chassis sensors, hypervisor nodes, up to running customer applications.</w:t>
      </w:r>
    </w:p>
    <w:p>
      <w:pPr>
        <w:jc w:val="both"/>
        <w:ind w:left="720" w:first-line="-720"/>
        <w:spacing w:after="80"/>
      </w:pPr>
      <w:r>
        <w:rPr>
          <w:rFonts w:ascii="Arial" w:hAnsi="Arial" w:cs="Arial"/>
          <w:sz w:val="26"/>
          <w:sz-cs w:val="26"/>
          <w:b/>
          <w:color w:val="1A1A1A"/>
        </w:rPr>
        <w:t xml:space="preserve"/>
        <w:tab/>
        <w:t xml:space="preserve">•</w:t>
        <w:tab/>
        <w:t xml:space="preserve"/>
      </w:r>
      <w:r>
        <w:rPr>
          <w:rFonts w:ascii="Arial" w:hAnsi="Arial" w:cs="Arial"/>
          <w:sz w:val="26"/>
          <w:sz-cs w:val="26"/>
          <w:b/>
          <w:spacing w:val="0"/>
          <w:color w:val="1A1A1A"/>
        </w:rPr>
        <w:t xml:space="preserve">Event-driven Operations:</w:t>
      </w:r>
      <w:r>
        <w:rPr>
          <w:rFonts w:ascii="Arial" w:hAnsi="Arial" w:cs="Arial"/>
          <w:sz w:val="26"/>
          <w:sz-cs w:val="26"/>
          <w:spacing w:val="0"/>
          <w:color w:val="1A1A1A"/>
        </w:rPr>
        <w:t xml:space="preserve"> Administered a 27-node OpenStack and Ceph cluster. Analyzed log trends to prevent memory leaks and hardware failures before they impacted weather processing pipelines.</w:t>
      </w:r>
    </w:p>
    <w:p>
      <w:pPr/>
      <w:r>
        <w:rPr>
          <w:rFonts w:ascii="Arial" w:hAnsi="Arial" w:cs="Arial"/>
          <w:sz w:val="30"/>
          <w:sz-cs w:val="30"/>
          <w:b/>
          <w:spacing w:val="0"/>
          <w:color w:val="1A1A1A"/>
        </w:rPr>
        <w:t xml:space="preserve">Big Dutchman (China) Agricultural Machinery Equipment Co., Ltd.</w:t>
      </w:r>
      <w:r>
        <w:rPr>
          <w:rFonts w:ascii="Arial" w:hAnsi="Arial" w:cs="Arial"/>
          <w:sz w:val="29"/>
          <w:sz-cs w:val="29"/>
          <w:spacing w:val="0"/>
          <w:color w:val="1A1A1A"/>
        </w:rPr>
        <w:t xml:space="preserve"> — </w:t>
      </w:r>
      <w:r>
        <w:rPr>
          <w:rFonts w:ascii="Arial" w:hAnsi="Arial" w:cs="Arial"/>
          <w:sz w:val="29"/>
          <w:sz-cs w:val="29"/>
          <w:i/>
          <w:spacing w:val="0"/>
          <w:color w:val="1A1A1A"/>
        </w:rPr>
        <w:t xml:space="preserve">Project Coordinator / Technical Translator</w:t>
      </w:r>
      <w:r>
        <w:rPr>
          <w:rFonts w:ascii="Arial" w:hAnsi="Arial" w:cs="Arial"/>
          <w:sz w:val="29"/>
          <w:sz-cs w:val="29"/>
          <w:spacing w:val="0"/>
          <w:color w:val="1A1A1A"/>
        </w:rPr>
        <w:t xml:space="preserve"/>
      </w:r>
    </w:p>
    <w:p>
      <w:pPr>
        <w:jc w:val="right"/>
      </w:pPr>
      <w:r>
        <w:rPr>
          <w:rFonts w:ascii="Arial" w:hAnsi="Arial" w:cs="Arial"/>
          <w:sz w:val="26"/>
          <w:sz-cs w:val="26"/>
          <w:b/>
          <w:spacing w:val="0"/>
          <w:color w:val="434343"/>
        </w:rPr>
        <w:t xml:space="preserve">Sep 2010 – Dec 2015</w:t>
      </w:r>
    </w:p>
    <w:p>
      <w:pPr/>
      <w:r>
        <w:rPr>
          <w:rFonts w:ascii="Arial" w:hAnsi="Arial" w:cs="Arial"/>
          <w:sz w:val="26"/>
          <w:sz-cs w:val="26"/>
          <w:i/>
          <w:spacing w:val="0"/>
          <w:color w:val="434343"/>
        </w:rPr>
        <w:t xml:space="preserve">Chinese subsidiary of the German agricultural equipment manufacturer Big Dutchman, implementing industrial livestock automation solutions.</w:t>
      </w:r>
    </w:p>
    <w:p>
      <w:pPr>
        <w:jc w:val="both"/>
        <w:ind w:left="720" w:first-line="-720"/>
        <w:spacing w:after="80"/>
      </w:pPr>
      <w:r>
        <w:rPr>
          <w:rFonts w:ascii="Arial" w:hAnsi="Arial" w:cs="Arial"/>
          <w:sz w:val="26"/>
          <w:sz-cs w:val="26"/>
          <w:b/>
          <w:color w:val="1A1A1A"/>
        </w:rPr>
        <w:t xml:space="preserve"/>
        <w:tab/>
        <w:t xml:space="preserve">•</w:t>
        <w:tab/>
        <w:t xml:space="preserve"/>
      </w:r>
      <w:r>
        <w:rPr>
          <w:rFonts w:ascii="Arial" w:hAnsi="Arial" w:cs="Arial"/>
          <w:sz w:val="26"/>
          <w:sz-cs w:val="26"/>
          <w:b/>
          <w:spacing w:val="0"/>
          <w:color w:val="1A1A1A"/>
        </w:rPr>
        <w:t xml:space="preserve">Technical Translation &amp; Localization:</w:t>
      </w:r>
      <w:r>
        <w:rPr>
          <w:rFonts w:ascii="Arial" w:hAnsi="Arial" w:cs="Arial"/>
          <w:sz w:val="26"/>
          <w:sz-cs w:val="26"/>
          <w:spacing w:val="0"/>
          <w:color w:val="1A1A1A"/>
        </w:rPr>
        <w:t xml:space="preserve"> Translated complex German technical documentation, engineering drawings, and user manuals from English to Chinese, creating standardized references for the domestic after-sales network.</w:t>
      </w:r>
    </w:p>
    <w:p>
      <w:pPr>
        <w:jc w:val="both"/>
        <w:ind w:left="720" w:first-line="-720"/>
        <w:spacing w:after="80"/>
      </w:pPr>
      <w:r>
        <w:rPr>
          <w:rFonts w:ascii="Arial" w:hAnsi="Arial" w:cs="Arial"/>
          <w:sz w:val="26"/>
          <w:sz-cs w:val="26"/>
          <w:b/>
          <w:color w:val="1A1A1A"/>
        </w:rPr>
        <w:t xml:space="preserve"/>
        <w:tab/>
        <w:t xml:space="preserve">•</w:t>
        <w:tab/>
        <w:t xml:space="preserve"/>
      </w:r>
      <w:r>
        <w:rPr>
          <w:rFonts w:ascii="Arial" w:hAnsi="Arial" w:cs="Arial"/>
          <w:sz w:val="26"/>
          <w:sz-cs w:val="26"/>
          <w:b/>
          <w:spacing w:val="0"/>
          <w:color w:val="1A1A1A"/>
        </w:rPr>
        <w:t xml:space="preserve">On-Site Technical Interpreting:</w:t>
      </w:r>
      <w:r>
        <w:rPr>
          <w:rFonts w:ascii="Arial" w:hAnsi="Arial" w:cs="Arial"/>
          <w:sz w:val="26"/>
          <w:sz-cs w:val="26"/>
          <w:spacing w:val="0"/>
          <w:color w:val="1A1A1A"/>
        </w:rPr>
        <w:t xml:space="preserve"> Provided verbal English/Chinese translations during heavy automation equipment commissionings, facilitating cooperation between German engineering experts and local assembly crews and preventing installation errors.</w:t>
      </w:r>
    </w:p>
    <w:p>
      <w:pPr>
        <w:jc w:val="both"/>
        <w:ind w:left="720" w:first-line="-720"/>
        <w:spacing w:after="80"/>
      </w:pPr>
      <w:r>
        <w:rPr>
          <w:rFonts w:ascii="Arial" w:hAnsi="Arial" w:cs="Arial"/>
          <w:sz w:val="26"/>
          <w:sz-cs w:val="26"/>
          <w:b/>
          <w:color w:val="1A1A1A"/>
        </w:rPr>
        <w:t xml:space="preserve"/>
        <w:tab/>
        <w:t xml:space="preserve">•</w:t>
        <w:tab/>
        <w:t xml:space="preserve"/>
      </w:r>
      <w:r>
        <w:rPr>
          <w:rFonts w:ascii="Arial" w:hAnsi="Arial" w:cs="Arial"/>
          <w:sz w:val="26"/>
          <w:sz-cs w:val="26"/>
          <w:b/>
          <w:spacing w:val="0"/>
          <w:color w:val="1A1A1A"/>
        </w:rPr>
        <w:t xml:space="preserve">Cross-Border Project Operations Support:</w:t>
      </w:r>
      <w:r>
        <w:rPr>
          <w:rFonts w:ascii="Arial" w:hAnsi="Arial" w:cs="Arial"/>
          <w:sz w:val="26"/>
          <w:sz-cs w:val="26"/>
          <w:spacing w:val="0"/>
          <w:color w:val="1A1A1A"/>
        </w:rPr>
        <w:t xml:space="preserve"> Managed communication protocols between the German headquarters and Chinese divisions. Handled schedule alignments and resolved communication gaps caused by time-zones or localization.</w:t>
      </w:r>
    </w:p>
    <w:p>
      <w:pPr>
        <w:spacing w:after="213"/>
      </w:pPr>
      <w:r>
        <w:rPr>
          <w:rFonts w:ascii="Arial" w:hAnsi="Arial" w:cs="Arial"/>
          <w:sz w:val="34"/>
          <w:sz-cs w:val="34"/>
          <w:b/>
          <w:spacing w:val="0"/>
          <w:color w:val="0F3A6E"/>
        </w:rPr>
        <w:t xml:space="preserve">LANGUAGES</w:t>
      </w:r>
    </w:p>
    <w:p>
      <w:pPr/>
      <w:r>
        <w:rPr>
          <w:rFonts w:ascii="Arial" w:hAnsi="Arial" w:cs="Arial"/>
          <w:sz w:val="26"/>
          <w:sz-cs w:val="26"/>
          <w:b/>
          <w:spacing w:val="0"/>
          <w:color w:val="1A1A1A"/>
        </w:rPr>
        <w:t xml:space="preserve">Mongolian:</w:t>
      </w:r>
      <w:r>
        <w:rPr>
          <w:rFonts w:ascii="Arial" w:hAnsi="Arial" w:cs="Arial"/>
          <w:sz w:val="26"/>
          <w:sz-cs w:val="26"/>
          <w:spacing w:val="0"/>
          <w:color w:val="1A1A1A"/>
        </w:rPr>
        <w:t xml:space="preserve"> Native | </w:t>
      </w:r>
      <w:r>
        <w:rPr>
          <w:rFonts w:ascii="Arial" w:hAnsi="Arial" w:cs="Arial"/>
          <w:sz w:val="26"/>
          <w:sz-cs w:val="26"/>
          <w:b/>
          <w:spacing w:val="0"/>
          <w:color w:val="1A1A1A"/>
        </w:rPr>
        <w:t xml:space="preserve">Chinese:</w:t>
      </w:r>
      <w:r>
        <w:rPr>
          <w:rFonts w:ascii="Arial" w:hAnsi="Arial" w:cs="Arial"/>
          <w:sz w:val="26"/>
          <w:sz-cs w:val="26"/>
          <w:spacing w:val="0"/>
          <w:color w:val="1A1A1A"/>
        </w:rPr>
        <w:t xml:space="preserve"> Native | </w:t>
      </w:r>
      <w:r>
        <w:rPr>
          <w:rFonts w:ascii="Arial" w:hAnsi="Arial" w:cs="Arial"/>
          <w:sz w:val="26"/>
          <w:sz-cs w:val="26"/>
          <w:b/>
          <w:spacing w:val="0"/>
          <w:color w:val="1A1A1A"/>
        </w:rPr>
        <w:t xml:space="preserve">English:</w:t>
      </w:r>
      <w:r>
        <w:rPr>
          <w:rFonts w:ascii="Arial" w:hAnsi="Arial" w:cs="Arial"/>
          <w:sz w:val="26"/>
          <w:sz-cs w:val="26"/>
          <w:spacing w:val="0"/>
          <w:color w:val="1A1A1A"/>
        </w:rPr>
        <w:t xml:space="preserve"> Professional Level (TEM-8 / Test for English Majors Grade 8) | </w:t>
      </w:r>
      <w:r>
        <w:rPr>
          <w:rFonts w:ascii="Arial" w:hAnsi="Arial" w:cs="Arial"/>
          <w:sz w:val="26"/>
          <w:sz-cs w:val="26"/>
          <w:b/>
          <w:spacing w:val="0"/>
          <w:color w:val="1A1A1A"/>
        </w:rPr>
        <w:t xml:space="preserve">Japanese:</w:t>
      </w:r>
      <w:r>
        <w:rPr>
          <w:rFonts w:ascii="Arial" w:hAnsi="Arial" w:cs="Arial"/>
          <w:sz w:val="26"/>
          <w:sz-cs w:val="26"/>
          <w:spacing w:val="0"/>
          <w:color w:val="1A1A1A"/>
        </w:rPr>
        <w:t xml:space="preserve"> Business Level (CJT-4 / College Japanese Test Grade 4 &amp; Continuous Advanced Business Studies)</w:t>
      </w:r>
    </w:p>
    <w:p>
      <w:pPr>
        <w:spacing w:after="213"/>
      </w:pPr>
      <w:r>
        <w:rPr>
          <w:rFonts w:ascii="Arial" w:hAnsi="Arial" w:cs="Arial"/>
          <w:sz w:val="34"/>
          <w:sz-cs w:val="34"/>
          <w:b/>
          <w:spacing w:val="0"/>
          <w:color w:val="0F3A6E"/>
        </w:rPr>
        <w:t xml:space="preserve">EDUCATION &amp; CREDENTIALS</w:t>
      </w:r>
    </w:p>
    <w:p>
      <w:pPr/>
      <w:r>
        <w:rPr>
          <w:rFonts w:ascii="Arial" w:hAnsi="Arial" w:cs="Arial"/>
          <w:sz w:val="30"/>
          <w:sz-cs w:val="30"/>
          <w:b/>
          <w:spacing w:val="0"/>
          <w:color w:val="1A1A1A"/>
        </w:rPr>
        <w:t xml:space="preserve">Inner Mongolia Industrial University</w:t>
      </w:r>
      <w:r>
        <w:rPr>
          <w:rFonts w:ascii="Arial" w:hAnsi="Arial" w:cs="Arial"/>
          <w:sz w:val="29"/>
          <w:sz-cs w:val="29"/>
          <w:spacing w:val="0"/>
          <w:color w:val="1A1A1A"/>
        </w:rPr>
        <w:t xml:space="preserve"> — </w:t>
      </w:r>
      <w:r>
        <w:rPr>
          <w:rFonts w:ascii="Arial" w:hAnsi="Arial" w:cs="Arial"/>
          <w:sz w:val="29"/>
          <w:sz-cs w:val="29"/>
          <w:i/>
          <w:spacing w:val="0"/>
          <w:color w:val="1A1A1A"/>
        </w:rPr>
        <w:t xml:space="preserve">Bachelor of Arts in English Language and Literature</w:t>
      </w:r>
      <w:r>
        <w:rPr>
          <w:rFonts w:ascii="Arial" w:hAnsi="Arial" w:cs="Arial"/>
          <w:sz w:val="29"/>
          <w:sz-cs w:val="29"/>
          <w:spacing w:val="0"/>
          <w:color w:val="1A1A1A"/>
        </w:rPr>
        <w:t xml:space="preserve"/>
      </w:r>
    </w:p>
    <w:p>
      <w:pPr>
        <w:jc w:val="right"/>
      </w:pPr>
      <w:r>
        <w:rPr>
          <w:rFonts w:ascii="Arial" w:hAnsi="Arial" w:cs="Arial"/>
          <w:sz w:val="26"/>
          <w:sz-cs w:val="26"/>
          <w:b/>
          <w:spacing w:val="0"/>
          <w:color w:val="434343"/>
        </w:rPr>
        <w:t xml:space="preserve">2005 – 2010</w:t>
      </w:r>
    </w:p>
    <w:p>
      <w:pPr/>
      <w:r>
        <w:rPr>
          <w:rFonts w:ascii="Arial" w:hAnsi="Arial" w:cs="Arial"/>
          <w:sz w:val="26"/>
          <w:sz-cs w:val="26"/>
          <w:b/>
          <w:spacing w:val="0"/>
          <w:color w:val="1A1A1A"/>
        </w:rPr>
        <w:t xml:space="preserve">Certifications:</w:t>
      </w:r>
      <w:r>
        <w:rPr>
          <w:rFonts w:ascii="Arial" w:hAnsi="Arial" w:cs="Arial"/>
          <w:sz w:val="26"/>
          <w:sz-cs w:val="26"/>
          <w:spacing w:val="0"/>
          <w:color w:val="1A1A1A"/>
        </w:rPr>
        <w:t xml:space="preserve"/>
      </w:r>
    </w:p>
    <w:p>
      <w:pPr>
        <w:jc w:val="both"/>
        <w:ind w:left="720" w:first-line="-720"/>
        <w:spacing w:after="80"/>
      </w:pPr>
      <w:r>
        <w:rPr>
          <w:rFonts w:ascii="Arial" w:hAnsi="Arial" w:cs="Arial"/>
          <w:sz w:val="26"/>
          <w:sz-cs w:val="26"/>
          <w:color w:val="1A1A1A"/>
        </w:rPr>
        <w:t xml:space="preserve"/>
        <w:tab/>
        <w:t xml:space="preserve">•</w:t>
        <w:tab/>
        <w:t xml:space="preserve"/>
      </w:r>
      <w:r>
        <w:rPr>
          <w:rFonts w:ascii="Arial" w:hAnsi="Arial" w:cs="Arial"/>
          <w:sz w:val="26"/>
          <w:sz-cs w:val="26"/>
          <w:spacing w:val="0"/>
          <w:color w:val="1A1A1A"/>
        </w:rPr>
        <w:t xml:space="preserve">TEM-8 (Test for English Majors Grade 8, highest national level for English majors) — 2010</w:t>
      </w:r>
    </w:p>
    <w:p>
      <w:pPr>
        <w:jc w:val="both"/>
        <w:ind w:left="720" w:first-line="-720"/>
        <w:spacing w:after="80"/>
      </w:pPr>
      <w:r>
        <w:rPr>
          <w:rFonts w:ascii="Arial" w:hAnsi="Arial" w:cs="Arial"/>
          <w:sz w:val="26"/>
          <w:sz-cs w:val="26"/>
          <w:color w:val="1A1A1A"/>
        </w:rPr>
        <w:t xml:space="preserve"/>
        <w:tab/>
        <w:t xml:space="preserve">•</w:t>
        <w:tab/>
        <w:t xml:space="preserve"/>
      </w:r>
      <w:r>
        <w:rPr>
          <w:rFonts w:ascii="Arial" w:hAnsi="Arial" w:cs="Arial"/>
          <w:sz w:val="26"/>
          <w:sz-cs w:val="26"/>
          <w:spacing w:val="0"/>
          <w:color w:val="1A1A1A"/>
        </w:rPr>
        <w:t xml:space="preserve">TEM-4 (Test for English Majors Grade 4) — 2008</w:t>
      </w:r>
    </w:p>
    <w:p>
      <w:pPr>
        <w:jc w:val="both"/>
        <w:ind w:left="720" w:first-line="-720"/>
        <w:spacing w:after="80"/>
      </w:pPr>
      <w:r>
        <w:rPr>
          <w:rFonts w:ascii="Arial" w:hAnsi="Arial" w:cs="Arial"/>
          <w:sz w:val="26"/>
          <w:sz-cs w:val="26"/>
          <w:color w:val="1A1A1A"/>
        </w:rPr>
        <w:t xml:space="preserve"/>
        <w:tab/>
        <w:t xml:space="preserve">•</w:t>
        <w:tab/>
        <w:t xml:space="preserve"/>
      </w:r>
      <w:r>
        <w:rPr>
          <w:rFonts w:ascii="Arial" w:hAnsi="Arial" w:cs="Arial"/>
          <w:sz w:val="26"/>
          <w:sz-cs w:val="26"/>
          <w:spacing w:val="0"/>
          <w:color w:val="1A1A1A"/>
        </w:rPr>
        <w:t xml:space="preserve">CJT-4 (College Japanese Test Grade 4) — 2009</w:t>
      </w:r>
    </w:p>
    <w:p>
      <w:pPr>
        <w:jc w:val="both"/>
        <w:ind w:left="720" w:first-line="-720"/>
        <w:spacing w:after="80"/>
      </w:pPr>
      <w:r>
        <w:rPr>
          <w:rFonts w:ascii="Arial" w:hAnsi="Arial" w:cs="Arial"/>
          <w:sz w:val="26"/>
          <w:sz-cs w:val="26"/>
          <w:color w:val="1A1A1A"/>
        </w:rPr>
        <w:t xml:space="preserve"/>
        <w:tab/>
        <w:t xml:space="preserve">•</w:t>
        <w:tab/>
        <w:t xml:space="preserve"/>
      </w:r>
      <w:r>
        <w:rPr>
          <w:rFonts w:ascii="Arial" w:hAnsi="Arial" w:cs="Arial"/>
          <w:sz w:val="26"/>
          <w:sz-cs w:val="26"/>
          <w:spacing w:val="0"/>
          <w:color w:val="1A1A1A"/>
        </w:rPr>
        <w:t xml:space="preserve">Chinese Driver's License (Class C1) — 2010</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CocoaOOXMLWriter/2487.7</generator>
</meta>
</file>