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8B67" w14:textId="512CEC00" w:rsidR="00651558" w:rsidRPr="00651558" w:rsidRDefault="00651558" w:rsidP="00651558">
      <w:pPr>
        <w:jc w:val="center"/>
        <w:rPr>
          <w:b/>
          <w:bCs/>
        </w:rPr>
      </w:pPr>
      <w:r w:rsidRPr="00651558">
        <w:rPr>
          <w:b/>
          <w:bCs/>
        </w:rPr>
        <w:t>EAI Modernisation Program</w:t>
      </w:r>
    </w:p>
    <w:p w14:paraId="79AA0781" w14:textId="77777777" w:rsidR="00651558" w:rsidRDefault="00651558" w:rsidP="00651558">
      <w:r w:rsidRPr="00651558">
        <w:rPr>
          <w:b/>
          <w:bCs/>
        </w:rPr>
        <w:t>Strategic objective:</w:t>
      </w:r>
      <w:r>
        <w:t xml:space="preserve"> Transform the ATO's Enterprise Application Integration (EAI) capability into a secure, resilient, scalable and cost-efficient integration platform, supporting critical business operations and future digital transformation.</w:t>
      </w:r>
    </w:p>
    <w:p w14:paraId="390B8C5E" w14:textId="50F111E4" w:rsidR="00651558" w:rsidRPr="00651558" w:rsidRDefault="00651558" w:rsidP="00651558">
      <w:pPr>
        <w:rPr>
          <w:b/>
          <w:bCs/>
        </w:rPr>
      </w:pPr>
      <w:r w:rsidRPr="00651558">
        <w:rPr>
          <w:b/>
          <w:bCs/>
        </w:rPr>
        <w:t>Enterprise significance</w:t>
      </w:r>
    </w:p>
    <w:p w14:paraId="0B14CDCA" w14:textId="77777777" w:rsidR="00651558" w:rsidRDefault="00651558" w:rsidP="00651558">
      <w:r>
        <w:t>EAI is a Tier 1, mission-critical platform enabling secure information exchange across the ATO and external agencies, supporting 24/7 business operations.</w:t>
      </w:r>
    </w:p>
    <w:tbl>
      <w:tblPr>
        <w:tblStyle w:val="TableGrid"/>
        <w:tblW w:w="0" w:type="auto"/>
        <w:tblLook w:val="04A0" w:firstRow="1" w:lastRow="0" w:firstColumn="1" w:lastColumn="0" w:noHBand="0" w:noVBand="1"/>
      </w:tblPr>
      <w:tblGrid>
        <w:gridCol w:w="3005"/>
        <w:gridCol w:w="3005"/>
        <w:gridCol w:w="3006"/>
      </w:tblGrid>
      <w:tr w:rsidR="00651558" w14:paraId="3A005CCB" w14:textId="77777777" w:rsidTr="00651558">
        <w:tc>
          <w:tcPr>
            <w:tcW w:w="3005" w:type="dxa"/>
          </w:tcPr>
          <w:p w14:paraId="681ABD77" w14:textId="64E3730B" w:rsidR="00651558" w:rsidRPr="00651558" w:rsidRDefault="00651558" w:rsidP="00651558">
            <w:pPr>
              <w:jc w:val="center"/>
              <w:rPr>
                <w:b/>
                <w:bCs/>
                <w:sz w:val="28"/>
                <w:szCs w:val="28"/>
              </w:rPr>
            </w:pPr>
            <w:r w:rsidRPr="00651558">
              <w:rPr>
                <w:b/>
                <w:bCs/>
                <w:sz w:val="28"/>
                <w:szCs w:val="28"/>
              </w:rPr>
              <w:t>400B+</w:t>
            </w:r>
          </w:p>
          <w:p w14:paraId="1B1C632D" w14:textId="74186D01" w:rsidR="00651558" w:rsidRDefault="00651558" w:rsidP="00651558">
            <w:pPr>
              <w:jc w:val="center"/>
            </w:pPr>
            <w:r w:rsidRPr="00651558">
              <w:rPr>
                <w:sz w:val="20"/>
                <w:szCs w:val="20"/>
              </w:rPr>
              <w:t>Messages annually</w:t>
            </w:r>
          </w:p>
        </w:tc>
        <w:tc>
          <w:tcPr>
            <w:tcW w:w="3005" w:type="dxa"/>
          </w:tcPr>
          <w:p w14:paraId="06CCE5A6" w14:textId="77777777" w:rsidR="00651558" w:rsidRPr="00651558" w:rsidRDefault="00651558" w:rsidP="00651558">
            <w:pPr>
              <w:jc w:val="center"/>
              <w:rPr>
                <w:b/>
                <w:bCs/>
              </w:rPr>
            </w:pPr>
            <w:r w:rsidRPr="00651558">
              <w:rPr>
                <w:b/>
                <w:bCs/>
                <w:sz w:val="28"/>
                <w:szCs w:val="28"/>
              </w:rPr>
              <w:t>300+</w:t>
            </w:r>
            <w:r w:rsidRPr="00651558">
              <w:rPr>
                <w:b/>
                <w:bCs/>
              </w:rPr>
              <w:t xml:space="preserve">  </w:t>
            </w:r>
          </w:p>
          <w:p w14:paraId="2B15861F" w14:textId="04C14DA8" w:rsidR="00651558" w:rsidRDefault="00651558" w:rsidP="00651558">
            <w:pPr>
              <w:jc w:val="center"/>
            </w:pPr>
            <w:r w:rsidRPr="00651558">
              <w:rPr>
                <w:sz w:val="20"/>
                <w:szCs w:val="20"/>
              </w:rPr>
              <w:t>Integration interfaces</w:t>
            </w:r>
          </w:p>
        </w:tc>
        <w:tc>
          <w:tcPr>
            <w:tcW w:w="3006" w:type="dxa"/>
          </w:tcPr>
          <w:p w14:paraId="03CD503C" w14:textId="77777777" w:rsidR="00651558" w:rsidRPr="00651558" w:rsidRDefault="00651558" w:rsidP="00651558">
            <w:pPr>
              <w:jc w:val="center"/>
              <w:rPr>
                <w:b/>
                <w:bCs/>
                <w:sz w:val="28"/>
                <w:szCs w:val="28"/>
              </w:rPr>
            </w:pPr>
            <w:r w:rsidRPr="00651558">
              <w:rPr>
                <w:b/>
                <w:bCs/>
                <w:sz w:val="28"/>
                <w:szCs w:val="28"/>
              </w:rPr>
              <w:t xml:space="preserve">24/7 </w:t>
            </w:r>
          </w:p>
          <w:p w14:paraId="73C725C1" w14:textId="7D92CCF2" w:rsidR="00651558" w:rsidRDefault="00651558" w:rsidP="00651558">
            <w:pPr>
              <w:jc w:val="center"/>
            </w:pPr>
            <w:r w:rsidRPr="00651558">
              <w:rPr>
                <w:sz w:val="20"/>
                <w:szCs w:val="20"/>
              </w:rPr>
              <w:t>Critical operations</w:t>
            </w:r>
          </w:p>
        </w:tc>
      </w:tr>
    </w:tbl>
    <w:p w14:paraId="58E6EFF7" w14:textId="77777777" w:rsidR="00651558" w:rsidRDefault="00651558" w:rsidP="00651558"/>
    <w:p w14:paraId="3948F167" w14:textId="4084CF06" w:rsidR="00651558" w:rsidRPr="00651558" w:rsidRDefault="00651558" w:rsidP="00651558">
      <w:pPr>
        <w:spacing w:after="0" w:line="288" w:lineRule="auto"/>
        <w:rPr>
          <w:b/>
          <w:bCs/>
        </w:rPr>
      </w:pPr>
      <w:r w:rsidRPr="00651558">
        <w:rPr>
          <w:b/>
          <w:bCs/>
        </w:rPr>
        <w:t>Horizon 1 – Stabilise and Modernise</w:t>
      </w:r>
    </w:p>
    <w:p w14:paraId="0053CFF6" w14:textId="7F408043" w:rsidR="00651558" w:rsidRPr="00651558" w:rsidRDefault="00651558" w:rsidP="00651558">
      <w:pPr>
        <w:spacing w:after="0" w:line="288" w:lineRule="auto"/>
        <w:rPr>
          <w:i/>
          <w:iCs/>
        </w:rPr>
      </w:pPr>
      <w:r w:rsidRPr="00651558">
        <w:rPr>
          <w:i/>
          <w:iCs/>
        </w:rPr>
        <w:t xml:space="preserve">November 2025 – March </w:t>
      </w:r>
      <w:proofErr w:type="gramStart"/>
      <w:r w:rsidRPr="00651558">
        <w:rPr>
          <w:i/>
          <w:iCs/>
        </w:rPr>
        <w:t>2027</w:t>
      </w:r>
      <w:r w:rsidRPr="00651558">
        <w:rPr>
          <w:i/>
          <w:iCs/>
        </w:rPr>
        <w:t xml:space="preserve">  -</w:t>
      </w:r>
      <w:proofErr w:type="gramEnd"/>
      <w:r w:rsidRPr="00651558">
        <w:rPr>
          <w:i/>
          <w:iCs/>
        </w:rPr>
        <w:t xml:space="preserve">   </w:t>
      </w:r>
      <w:r w:rsidRPr="00651558">
        <w:rPr>
          <w:i/>
          <w:iCs/>
        </w:rPr>
        <w:t>Substantially delivered</w:t>
      </w:r>
      <w:r>
        <w:rPr>
          <w:i/>
          <w:iCs/>
        </w:rPr>
        <w:br/>
      </w:r>
    </w:p>
    <w:p w14:paraId="6C2330A3" w14:textId="6A1F825F" w:rsidR="00651558" w:rsidRDefault="00651558" w:rsidP="00651558">
      <w:r w:rsidRPr="00651558">
        <w:rPr>
          <w:b/>
          <w:bCs/>
        </w:rPr>
        <w:t>Why we invested:</w:t>
      </w:r>
      <w:r>
        <w:t xml:space="preserve"> The legacy centralised architecture presented single points of failure, increasing technical debt, ageing infrastructure, security exposure and limitations in scalability. Modernisation was necessary to reduce enterprise risk and establish a sustainable integration foundation.</w:t>
      </w:r>
    </w:p>
    <w:p w14:paraId="36113958" w14:textId="77777777" w:rsidR="00651558" w:rsidRDefault="00651558" w:rsidP="00651558">
      <w:r w:rsidRPr="00651558">
        <w:rPr>
          <w:b/>
          <w:bCs/>
        </w:rPr>
        <w:t>What we delivered:</w:t>
      </w:r>
      <w:r>
        <w:t xml:space="preserve"> Redesigned the platform from a centralised Enterprise Service Bus to a federated architecture, distributing critical cloud infrastructure across three AWS Availability Zones. Upgraded core IBM MQ and ACE technologies, strengthened encryption and security, migrated suitable workloads to cloud infrastructure and optimised the infrastructure footprint.</w:t>
      </w:r>
    </w:p>
    <w:p w14:paraId="03D0EE85" w14:textId="77777777" w:rsidR="00651558" w:rsidRPr="00651558" w:rsidRDefault="00651558" w:rsidP="00651558">
      <w:pPr>
        <w:rPr>
          <w:b/>
          <w:bCs/>
        </w:rPr>
      </w:pPr>
      <w:r w:rsidRPr="00651558">
        <w:rPr>
          <w:b/>
          <w:bCs/>
        </w:rPr>
        <w:t>Business value realised:</w:t>
      </w:r>
    </w:p>
    <w:p w14:paraId="1F0B7427" w14:textId="55D96D92" w:rsidR="00651558" w:rsidRDefault="00651558" w:rsidP="00651558">
      <w:pPr>
        <w:pStyle w:val="ListParagraph"/>
        <w:numPr>
          <w:ilvl w:val="0"/>
          <w:numId w:val="1"/>
        </w:numPr>
      </w:pPr>
      <w:r w:rsidRPr="00651558">
        <w:rPr>
          <w:b/>
          <w:bCs/>
        </w:rPr>
        <w:t>Enterprise resilience:</w:t>
      </w:r>
      <w:r>
        <w:t xml:space="preserve"> Substantially mitigated a longstanding enterprise risk by reducing single points of failure and isolating application workloads.</w:t>
      </w:r>
    </w:p>
    <w:p w14:paraId="1573C0A8" w14:textId="623266E5" w:rsidR="00651558" w:rsidRDefault="00651558" w:rsidP="00651558">
      <w:pPr>
        <w:pStyle w:val="ListParagraph"/>
        <w:numPr>
          <w:ilvl w:val="0"/>
          <w:numId w:val="1"/>
        </w:numPr>
      </w:pPr>
      <w:r w:rsidRPr="00651558">
        <w:rPr>
          <w:b/>
          <w:bCs/>
        </w:rPr>
        <w:t xml:space="preserve">Security and sustainability: </w:t>
      </w:r>
      <w:r>
        <w:t>Reduced technical debt, improved cyber resilience and established a more supportable technology foundation.</w:t>
      </w:r>
    </w:p>
    <w:p w14:paraId="14B2ACC3" w14:textId="675B3815" w:rsidR="00651558" w:rsidRDefault="00651558" w:rsidP="00651558">
      <w:pPr>
        <w:pStyle w:val="ListParagraph"/>
        <w:numPr>
          <w:ilvl w:val="0"/>
          <w:numId w:val="1"/>
        </w:numPr>
      </w:pPr>
      <w:r w:rsidRPr="00651558">
        <w:rPr>
          <w:b/>
          <w:bCs/>
        </w:rPr>
        <w:t>Performance and scalability:</w:t>
      </w:r>
      <w:r>
        <w:t xml:space="preserve"> Improved processing efficiency and capacity to support growing transaction volumes.</w:t>
      </w:r>
    </w:p>
    <w:p w14:paraId="259A67C1" w14:textId="17B3BD47" w:rsidR="00651558" w:rsidRDefault="00651558" w:rsidP="00651558">
      <w:pPr>
        <w:pStyle w:val="ListParagraph"/>
        <w:numPr>
          <w:ilvl w:val="0"/>
          <w:numId w:val="1"/>
        </w:numPr>
      </w:pPr>
      <w:r w:rsidRPr="00651558">
        <w:rPr>
          <w:b/>
          <w:bCs/>
        </w:rPr>
        <w:t>Business continuity:</w:t>
      </w:r>
      <w:r>
        <w:t xml:space="preserve"> Delivered major architectural changes through staged releases while maintaining critical business services.</w:t>
      </w:r>
    </w:p>
    <w:p w14:paraId="3F483720" w14:textId="77777777" w:rsidR="00651558" w:rsidRDefault="00651558" w:rsidP="00651558">
      <w:pPr>
        <w:pStyle w:val="ListParagraph"/>
      </w:pPr>
    </w:p>
    <w:p w14:paraId="6C20597A" w14:textId="5ACCB5DF" w:rsidR="00651558" w:rsidRDefault="00651558" w:rsidP="00651558">
      <w:pPr>
        <w:rPr>
          <w:b/>
          <w:bCs/>
        </w:rPr>
      </w:pPr>
      <w:r w:rsidRPr="00651558">
        <w:rPr>
          <w:b/>
          <w:bCs/>
          <w:noProof/>
        </w:rPr>
        <mc:AlternateContent>
          <mc:Choice Requires="wps">
            <w:drawing>
              <wp:inline distT="0" distB="0" distL="0" distR="0" wp14:anchorId="7A6A08D8" wp14:editId="51ACF287">
                <wp:extent cx="5731510" cy="981075"/>
                <wp:effectExtent l="0" t="0" r="21590"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981075"/>
                        </a:xfrm>
                        <a:prstGeom prst="rect">
                          <a:avLst/>
                        </a:prstGeom>
                        <a:solidFill>
                          <a:srgbClr val="FFFFFF"/>
                        </a:solidFill>
                        <a:ln w="9525">
                          <a:solidFill>
                            <a:srgbClr val="000000"/>
                          </a:solidFill>
                          <a:miter lim="800000"/>
                          <a:headEnd/>
                          <a:tailEnd/>
                        </a:ln>
                      </wps:spPr>
                      <wps:txbx>
                        <w:txbxContent>
                          <w:p w14:paraId="1601B6C1" w14:textId="7C85D4A1" w:rsidR="00651558" w:rsidRDefault="00651558" w:rsidP="00651558">
                            <w:pPr>
                              <w:spacing w:after="0"/>
                              <w:jc w:val="center"/>
                            </w:pPr>
                            <w:r w:rsidRPr="00651558">
                              <w:t>HORIZON 1 – REPORTED ANNUAL SUSTAINMENT SAVINGS</w:t>
                            </w:r>
                          </w:p>
                          <w:p w14:paraId="53346991" w14:textId="6B6C5689" w:rsidR="00651558" w:rsidRPr="00651558" w:rsidRDefault="00651558" w:rsidP="00651558">
                            <w:pPr>
                              <w:spacing w:after="0"/>
                              <w:jc w:val="center"/>
                              <w:rPr>
                                <w:b/>
                                <w:bCs/>
                                <w:sz w:val="32"/>
                                <w:szCs w:val="32"/>
                              </w:rPr>
                            </w:pPr>
                            <w:r w:rsidRPr="00651558">
                              <w:rPr>
                                <w:b/>
                                <w:bCs/>
                                <w:sz w:val="32"/>
                                <w:szCs w:val="32"/>
                              </w:rPr>
                              <w:t>~$2.9 million p.a.</w:t>
                            </w:r>
                          </w:p>
                          <w:p w14:paraId="4EE5C831" w14:textId="0807B7C2" w:rsidR="00651558" w:rsidRPr="00102C96" w:rsidRDefault="00651558" w:rsidP="00651558">
                            <w:pPr>
                              <w:spacing w:after="0"/>
                              <w:jc w:val="center"/>
                              <w:rPr>
                                <w:sz w:val="22"/>
                                <w:szCs w:val="22"/>
                              </w:rPr>
                            </w:pPr>
                            <w:r w:rsidRPr="00102C96">
                              <w:rPr>
                                <w:sz w:val="22"/>
                                <w:szCs w:val="22"/>
                              </w:rPr>
                              <w:t>Through infrastructure footprint optimisation and reduced infrastructure and licensing costs</w:t>
                            </w:r>
                            <w:r w:rsidR="00102C96" w:rsidRPr="00102C96">
                              <w:rPr>
                                <w:sz w:val="22"/>
                                <w:szCs w:val="22"/>
                              </w:rPr>
                              <w:t>.</w:t>
                            </w:r>
                          </w:p>
                        </w:txbxContent>
                      </wps:txbx>
                      <wps:bodyPr rot="0" vert="horz" wrap="square" lIns="91440" tIns="45720" rIns="91440" bIns="45720" anchor="t" anchorCtr="0">
                        <a:noAutofit/>
                      </wps:bodyPr>
                    </wps:wsp>
                  </a:graphicData>
                </a:graphic>
              </wp:inline>
            </w:drawing>
          </mc:Choice>
          <mc:Fallback>
            <w:pict>
              <v:shapetype w14:anchorId="7A6A08D8" id="_x0000_t202" coordsize="21600,21600" o:spt="202" path="m,l,21600r21600,l21600,xe">
                <v:stroke joinstyle="miter"/>
                <v:path gradientshapeok="t" o:connecttype="rect"/>
              </v:shapetype>
              <v:shape id="Text Box 2" o:spid="_x0000_s1026" type="#_x0000_t202" style="width:451.3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">
                <v:textbox>
                  <w:txbxContent>
                    <w:p w14:paraId="1601B6C1" w14:textId="7C85D4A1" w:rsidR="00651558" w:rsidRDefault="00651558" w:rsidP="00651558">
                      <w:pPr>
                        <w:spacing w:after="0"/>
                        <w:jc w:val="center"/>
                      </w:pPr>
                      <w:r w:rsidRPr="00651558">
                        <w:t>HORIZON 1 – REPORTED ANNUAL SUSTAINMENT SAVINGS</w:t>
                      </w:r>
                    </w:p>
                    <w:p w14:paraId="53346991" w14:textId="6B6C5689" w:rsidR="00651558" w:rsidRPr="00651558" w:rsidRDefault="00651558" w:rsidP="00651558">
                      <w:pPr>
                        <w:spacing w:after="0"/>
                        <w:jc w:val="center"/>
                        <w:rPr>
                          <w:b/>
                          <w:bCs/>
                          <w:sz w:val="32"/>
                          <w:szCs w:val="32"/>
                        </w:rPr>
                      </w:pPr>
                      <w:r w:rsidRPr="00651558">
                        <w:rPr>
                          <w:b/>
                          <w:bCs/>
                          <w:sz w:val="32"/>
                          <w:szCs w:val="32"/>
                        </w:rPr>
                        <w:t>~$2.9 million p.a.</w:t>
                      </w:r>
                    </w:p>
                    <w:p w14:paraId="4EE5C831" w14:textId="0807B7C2" w:rsidR="00651558" w:rsidRPr="00102C96" w:rsidRDefault="00651558" w:rsidP="00651558">
                      <w:pPr>
                        <w:spacing w:after="0"/>
                        <w:jc w:val="center"/>
                        <w:rPr>
                          <w:sz w:val="22"/>
                          <w:szCs w:val="22"/>
                        </w:rPr>
                      </w:pPr>
                      <w:r w:rsidRPr="00102C96">
                        <w:rPr>
                          <w:sz w:val="22"/>
                          <w:szCs w:val="22"/>
                        </w:rPr>
                        <w:t>Through infrastructure footprint optimisation and reduced infrastructure and licensing costs</w:t>
                      </w:r>
                      <w:r w:rsidR="00102C96" w:rsidRPr="00102C96">
                        <w:rPr>
                          <w:sz w:val="22"/>
                          <w:szCs w:val="22"/>
                        </w:rPr>
                        <w:t>.</w:t>
                      </w:r>
                    </w:p>
                  </w:txbxContent>
                </v:textbox>
                <w10:anchorlock/>
              </v:shape>
            </w:pict>
          </mc:Fallback>
        </mc:AlternateContent>
      </w:r>
    </w:p>
    <w:p w14:paraId="389C6BE5" w14:textId="3407090F" w:rsidR="00651558" w:rsidRPr="00651558" w:rsidRDefault="00651558" w:rsidP="00651558">
      <w:pPr>
        <w:rPr>
          <w:b/>
          <w:bCs/>
        </w:rPr>
      </w:pPr>
      <w:r w:rsidRPr="00651558">
        <w:rPr>
          <w:b/>
          <w:bCs/>
        </w:rPr>
        <w:lastRenderedPageBreak/>
        <w:t>Horizon 2 – Containerise and Optimise</w:t>
      </w:r>
    </w:p>
    <w:p w14:paraId="3B006D81" w14:textId="77777777" w:rsidR="00651558" w:rsidRPr="00651558" w:rsidRDefault="00651558" w:rsidP="00651558">
      <w:pPr>
        <w:rPr>
          <w:i/>
          <w:iCs/>
        </w:rPr>
      </w:pPr>
      <w:r w:rsidRPr="00651558">
        <w:rPr>
          <w:i/>
          <w:iCs/>
        </w:rPr>
        <w:t>Strategic direction | Proof of Concept targeted for February–March 2027</w:t>
      </w:r>
    </w:p>
    <w:p w14:paraId="355560BA" w14:textId="77777777" w:rsidR="00651558" w:rsidRDefault="00651558" w:rsidP="00651558">
      <w:r w:rsidRPr="00651558">
        <w:rPr>
          <w:b/>
          <w:bCs/>
        </w:rPr>
        <w:t>Why we are progressing:</w:t>
      </w:r>
      <w:r>
        <w:t xml:space="preserve"> Horizon 1 has established the architectural foundation. Horizon 2 is the strategic next step towards a cloud-native, automated and operationally efficient integration capability, reducing dependence on traditional infrastructure management and enabling future digital services.</w:t>
      </w:r>
    </w:p>
    <w:p w14:paraId="080A7393" w14:textId="15A1E5F2" w:rsidR="00651558" w:rsidRDefault="00651558" w:rsidP="00651558">
      <w:r>
        <w:rPr>
          <w:b/>
          <w:bCs/>
        </w:rPr>
        <w:br/>
      </w:r>
      <w:r w:rsidRPr="00651558">
        <w:rPr>
          <w:b/>
          <w:bCs/>
        </w:rPr>
        <w:t>Strategic initiatives:</w:t>
      </w:r>
      <w:r>
        <w:t xml:space="preserve"> Progressively containerise suitable IBM MQ and ACE workloads using cloud-native orchestration; introduce automated deployment, patching, recovery and lifecycle management; and evaluate end-to-end observability across the ATO's hybrid integration landscape.</w:t>
      </w:r>
    </w:p>
    <w:p w14:paraId="7879A24E" w14:textId="7EFF1F8B" w:rsidR="00651558" w:rsidRDefault="00651558" w:rsidP="00651558">
      <w:r>
        <w:rPr>
          <w:b/>
          <w:bCs/>
        </w:rPr>
        <w:br/>
      </w:r>
      <w:r w:rsidRPr="00651558">
        <w:rPr>
          <w:b/>
          <w:bCs/>
        </w:rPr>
        <w:t>Anticipated business value:</w:t>
      </w:r>
    </w:p>
    <w:p w14:paraId="6D548FA2" w14:textId="1C6A2543" w:rsidR="00651558" w:rsidRDefault="00651558" w:rsidP="00102C96">
      <w:pPr>
        <w:pStyle w:val="ListParagraph"/>
        <w:numPr>
          <w:ilvl w:val="0"/>
          <w:numId w:val="2"/>
        </w:numPr>
      </w:pPr>
      <w:r w:rsidRPr="00102C96">
        <w:rPr>
          <w:b/>
          <w:bCs/>
        </w:rPr>
        <w:t>Operational efficiency:</w:t>
      </w:r>
      <w:r>
        <w:t xml:space="preserve"> Reduce manual infrastructure management and accelerate deployment and environment provisioning.</w:t>
      </w:r>
    </w:p>
    <w:p w14:paraId="60171915" w14:textId="2F24484B" w:rsidR="00651558" w:rsidRDefault="00651558" w:rsidP="00102C96">
      <w:pPr>
        <w:pStyle w:val="ListParagraph"/>
        <w:numPr>
          <w:ilvl w:val="0"/>
          <w:numId w:val="2"/>
        </w:numPr>
      </w:pPr>
      <w:r w:rsidRPr="00102C96">
        <w:rPr>
          <w:b/>
          <w:bCs/>
        </w:rPr>
        <w:t>Improved resilience and security:</w:t>
      </w:r>
      <w:r>
        <w:t xml:space="preserve"> Enable automated recovery, workload isolation and consistent security controls.</w:t>
      </w:r>
    </w:p>
    <w:p w14:paraId="712A35BC" w14:textId="1DF62DA1" w:rsidR="00651558" w:rsidRDefault="00651558" w:rsidP="00102C96">
      <w:pPr>
        <w:pStyle w:val="ListParagraph"/>
        <w:numPr>
          <w:ilvl w:val="0"/>
          <w:numId w:val="2"/>
        </w:numPr>
      </w:pPr>
      <w:r w:rsidRPr="00102C96">
        <w:rPr>
          <w:b/>
          <w:bCs/>
        </w:rPr>
        <w:t>Financial optimisation:</w:t>
      </w:r>
      <w:r>
        <w:t xml:space="preserve"> Reduce infrastructure sustainment costs, improve resource utilisation and identify opportunities to rationalise monitoring and licensing expenditure.</w:t>
      </w:r>
    </w:p>
    <w:p w14:paraId="7B5C57D7" w14:textId="4A12F29F" w:rsidR="00651558" w:rsidRDefault="00651558" w:rsidP="00102C96">
      <w:pPr>
        <w:pStyle w:val="ListParagraph"/>
        <w:numPr>
          <w:ilvl w:val="0"/>
          <w:numId w:val="2"/>
        </w:numPr>
      </w:pPr>
      <w:r w:rsidRPr="00102C96">
        <w:rPr>
          <w:b/>
          <w:bCs/>
        </w:rPr>
        <w:t>Future readiness:</w:t>
      </w:r>
      <w:r>
        <w:t xml:space="preserve"> Establish a scalable, standardised integration capability aligned with cloud-native and evolving enterprise architecture strategies.</w:t>
      </w:r>
    </w:p>
    <w:p w14:paraId="23463BCA" w14:textId="293ABB57" w:rsidR="00651558" w:rsidRDefault="00651558" w:rsidP="00651558">
      <w:r w:rsidRPr="00102C96">
        <w:rPr>
          <w:b/>
          <w:bCs/>
        </w:rPr>
        <w:t xml:space="preserve">Financial benefits: </w:t>
      </w:r>
      <w:r>
        <w:t xml:space="preserve">Horizon 2 is expected to generate further recurring infrastructure, licensing and operational savings. The financial benefit remains to be quantified and validated through the Proof of Concept and subsequent business case; it </w:t>
      </w:r>
      <w:r w:rsidR="00102C96">
        <w:t>is</w:t>
      </w:r>
      <w:r>
        <w:t xml:space="preserve"> not yet be</w:t>
      </w:r>
      <w:r w:rsidR="00102C96">
        <w:t>en</w:t>
      </w:r>
      <w:r>
        <w:t xml:space="preserve"> represented as a committed saving.</w:t>
      </w:r>
    </w:p>
    <w:p w14:paraId="70241CDA" w14:textId="77777777" w:rsidR="00651558" w:rsidRDefault="00651558" w:rsidP="00651558">
      <w:r w:rsidRPr="00102C96">
        <w:rPr>
          <w:b/>
          <w:bCs/>
        </w:rPr>
        <w:t>Investment approach:</w:t>
      </w:r>
      <w:r>
        <w:t xml:space="preserve"> The Proof of Concept will validate technical feasibility, operational benefits, security, cost efficiencies and implementation options before seeking approval for broader rollout.</w:t>
      </w:r>
    </w:p>
    <w:p w14:paraId="63BC5EC4" w14:textId="77777777" w:rsidR="00102C96" w:rsidRDefault="00102C96" w:rsidP="00651558">
      <w:pPr>
        <w:rPr>
          <w:b/>
          <w:bCs/>
        </w:rPr>
      </w:pPr>
    </w:p>
    <w:p w14:paraId="206B6F4E" w14:textId="13F310D2" w:rsidR="00651558" w:rsidRDefault="00102C96" w:rsidP="00651558">
      <w:r w:rsidRPr="00102C96">
        <w:rPr>
          <w:b/>
          <w:bCs/>
        </w:rPr>
        <w:t>Strategic Outcome</w:t>
      </w:r>
      <w:r>
        <w:rPr>
          <w:b/>
          <w:bCs/>
        </w:rPr>
        <w:t xml:space="preserve">: </w:t>
      </w:r>
      <w:r w:rsidR="00651558">
        <w:t>Horizon 1 has materially reduced enterprise technology risk and established a resilient, secure integration foundation, with approximately $2.9 million in reported annual sustainment savings. Horizon 2 represents a strategic opportunity to build on this investment through automation, containerisation and observability, delivering further efficiencies and positioning EAI to support the ATO's future digital transformation.</w:t>
      </w:r>
    </w:p>
    <w:sectPr w:rsidR="0065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DB4"/>
    <w:multiLevelType w:val="hybridMultilevel"/>
    <w:tmpl w:val="4FE6A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78081A"/>
    <w:multiLevelType w:val="hybridMultilevel"/>
    <w:tmpl w:val="180CF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01853777">
    <w:abstractNumId w:val="0"/>
  </w:num>
  <w:num w:numId="2" w16cid:durableId="1327242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58"/>
    <w:rsid w:val="00102C96"/>
    <w:rsid w:val="00580B7B"/>
    <w:rsid w:val="00651558"/>
    <w:rsid w:val="009F6CE2"/>
    <w:rsid w:val="00A673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C277"/>
  <w15:chartTrackingRefBased/>
  <w15:docId w15:val="{171DF5AD-0FBE-4DD3-814C-1BCF46C4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58"/>
    <w:rPr>
      <w:rFonts w:eastAsiaTheme="majorEastAsia" w:cstheme="majorBidi"/>
      <w:color w:val="272727" w:themeColor="text1" w:themeTint="D8"/>
    </w:rPr>
  </w:style>
  <w:style w:type="paragraph" w:styleId="Title">
    <w:name w:val="Title"/>
    <w:basedOn w:val="Normal"/>
    <w:next w:val="Normal"/>
    <w:link w:val="TitleChar"/>
    <w:uiPriority w:val="10"/>
    <w:qFormat/>
    <w:rsid w:val="0065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58"/>
    <w:pPr>
      <w:spacing w:before="160"/>
      <w:jc w:val="center"/>
    </w:pPr>
    <w:rPr>
      <w:i/>
      <w:iCs/>
      <w:color w:val="404040" w:themeColor="text1" w:themeTint="BF"/>
    </w:rPr>
  </w:style>
  <w:style w:type="character" w:customStyle="1" w:styleId="QuoteChar">
    <w:name w:val="Quote Char"/>
    <w:basedOn w:val="DefaultParagraphFont"/>
    <w:link w:val="Quote"/>
    <w:uiPriority w:val="29"/>
    <w:rsid w:val="00651558"/>
    <w:rPr>
      <w:i/>
      <w:iCs/>
      <w:color w:val="404040" w:themeColor="text1" w:themeTint="BF"/>
    </w:rPr>
  </w:style>
  <w:style w:type="paragraph" w:styleId="ListParagraph">
    <w:name w:val="List Paragraph"/>
    <w:basedOn w:val="Normal"/>
    <w:uiPriority w:val="34"/>
    <w:qFormat/>
    <w:rsid w:val="00651558"/>
    <w:pPr>
      <w:ind w:left="720"/>
      <w:contextualSpacing/>
    </w:pPr>
  </w:style>
  <w:style w:type="character" w:styleId="IntenseEmphasis">
    <w:name w:val="Intense Emphasis"/>
    <w:basedOn w:val="DefaultParagraphFont"/>
    <w:uiPriority w:val="21"/>
    <w:qFormat/>
    <w:rsid w:val="00651558"/>
    <w:rPr>
      <w:i/>
      <w:iCs/>
      <w:color w:val="0F4761" w:themeColor="accent1" w:themeShade="BF"/>
    </w:rPr>
  </w:style>
  <w:style w:type="paragraph" w:styleId="IntenseQuote">
    <w:name w:val="Intense Quote"/>
    <w:basedOn w:val="Normal"/>
    <w:next w:val="Normal"/>
    <w:link w:val="IntenseQuoteChar"/>
    <w:uiPriority w:val="30"/>
    <w:qFormat/>
    <w:rsid w:val="0065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558"/>
    <w:rPr>
      <w:i/>
      <w:iCs/>
      <w:color w:val="0F4761" w:themeColor="accent1" w:themeShade="BF"/>
    </w:rPr>
  </w:style>
  <w:style w:type="character" w:styleId="IntenseReference">
    <w:name w:val="Intense Reference"/>
    <w:basedOn w:val="DefaultParagraphFont"/>
    <w:uiPriority w:val="32"/>
    <w:qFormat/>
    <w:rsid w:val="00651558"/>
    <w:rPr>
      <w:b/>
      <w:bCs/>
      <w:smallCaps/>
      <w:color w:val="0F4761" w:themeColor="accent1" w:themeShade="BF"/>
      <w:spacing w:val="5"/>
    </w:rPr>
  </w:style>
  <w:style w:type="table" w:styleId="TableGrid">
    <w:name w:val="Table Grid"/>
    <w:basedOn w:val="TableNormal"/>
    <w:uiPriority w:val="39"/>
    <w:rsid w:val="00651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Jaghamani</dc:creator>
  <cp:keywords/>
  <dc:description/>
  <cp:lastModifiedBy>Prakash Jaghamani</cp:lastModifiedBy>
  <cp:revision>1</cp:revision>
  <dcterms:created xsi:type="dcterms:W3CDTF">2026-10-15T11:15:00Z</dcterms:created>
  <dcterms:modified xsi:type="dcterms:W3CDTF">2026-10-15T11:31:00Z</dcterms:modified>
</cp:coreProperties>
</file>