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ED9DE8B" w:rsidP="00685652" w:rsidRDefault="6ED9DE8B" w14:paraId="4926431A" w14:textId="65EA60D4">
      <w:pPr>
        <w:shd w:val="clear" w:color="auto" w:fill="FFFFFF" w:themeFill="background1"/>
        <w:spacing w:before="120" w:after="120" w:line="240" w:lineRule="auto"/>
        <w:rPr>
          <w:rFonts w:eastAsia="Times New Roman"/>
          <w:color w:val="000000" w:themeColor="text1" w:themeTint="FF" w:themeShade="FF"/>
          <w:u w:val="single"/>
        </w:rPr>
      </w:pPr>
      <w:r w:rsidRPr="00685652" w:rsidR="6ED9DE8B">
        <w:rPr>
          <w:rFonts w:eastAsia="Times New Roman"/>
          <w:color w:val="000000" w:themeColor="text1" w:themeTint="FF" w:themeShade="FF"/>
          <w:u w:val="single"/>
        </w:rPr>
        <w:t xml:space="preserve">Brief study </w:t>
      </w:r>
      <w:r w:rsidRPr="00685652" w:rsidR="6ED9DE8B">
        <w:rPr>
          <w:rFonts w:eastAsia="Times New Roman"/>
          <w:color w:val="000000" w:themeColor="text1" w:themeTint="FF" w:themeShade="FF"/>
          <w:u w:val="single"/>
        </w:rPr>
        <w:t>description</w:t>
      </w:r>
    </w:p>
    <w:p w:rsidR="6ED9DE8B" w:rsidP="00685652" w:rsidRDefault="6ED9DE8B" w14:paraId="35441073" w14:textId="60A50B25">
      <w:pPr>
        <w:pStyle w:val="Normal"/>
        <w:shd w:val="clear" w:color="auto" w:fill="FFFFFF" w:themeFill="background1"/>
        <w:spacing w:before="120" w:after="120" w:line="240" w:lineRule="auto"/>
        <w:rPr>
          <w:rFonts w:eastAsia="Times New Roman"/>
          <w:color w:val="000000" w:themeColor="text1" w:themeTint="FF" w:themeShade="FF"/>
        </w:rPr>
      </w:pPr>
      <w:r w:rsidRPr="00685652" w:rsidR="6ED9DE8B">
        <w:rPr>
          <w:rFonts w:eastAsia="Times New Roman"/>
          <w:color w:val="000000" w:themeColor="text1" w:themeTint="FF" w:themeShade="FF"/>
        </w:rPr>
        <w:t xml:space="preserve">ACTIV-1 was a </w:t>
      </w:r>
      <w:r w:rsidRPr="00685652" w:rsidR="030D46BD">
        <w:rPr>
          <w:rFonts w:eastAsia="Times New Roman"/>
          <w:color w:val="000000" w:themeColor="text1" w:themeTint="FF" w:themeShade="FF"/>
        </w:rPr>
        <w:t xml:space="preserve">randomized, </w:t>
      </w:r>
      <w:r w:rsidRPr="00685652" w:rsidR="030D46BD">
        <w:rPr>
          <w:rFonts w:eastAsia="Times New Roman"/>
          <w:color w:val="000000" w:themeColor="text1" w:themeTint="FF" w:themeShade="FF"/>
        </w:rPr>
        <w:t>doubl</w:t>
      </w:r>
      <w:r w:rsidRPr="00685652" w:rsidR="79F07ABB">
        <w:rPr>
          <w:rFonts w:eastAsia="Times New Roman"/>
          <w:color w:val="000000" w:themeColor="text1" w:themeTint="FF" w:themeShade="FF"/>
        </w:rPr>
        <w:t>e</w:t>
      </w:r>
      <w:r w:rsidRPr="00685652" w:rsidR="030D46BD">
        <w:rPr>
          <w:rFonts w:eastAsia="Times New Roman"/>
          <w:color w:val="000000" w:themeColor="text1" w:themeTint="FF" w:themeShade="FF"/>
        </w:rPr>
        <w:t xml:space="preserve">-blind </w:t>
      </w:r>
      <w:r w:rsidRPr="00685652" w:rsidR="6ED9DE8B">
        <w:rPr>
          <w:rFonts w:eastAsia="Times New Roman"/>
          <w:color w:val="000000" w:themeColor="text1" w:themeTint="FF" w:themeShade="FF"/>
        </w:rPr>
        <w:t xml:space="preserve">platform trial </w:t>
      </w:r>
      <w:r w:rsidRPr="00685652" w:rsidR="074C813A">
        <w:rPr>
          <w:rFonts w:eastAsia="Times New Roman"/>
          <w:color w:val="000000" w:themeColor="text1" w:themeTint="FF" w:themeShade="FF"/>
        </w:rPr>
        <w:t>evaluating</w:t>
      </w:r>
      <w:r w:rsidRPr="00685652" w:rsidR="6ED9DE8B">
        <w:rPr>
          <w:rFonts w:eastAsia="Times New Roman"/>
          <w:color w:val="000000" w:themeColor="text1" w:themeTint="FF" w:themeShade="FF"/>
        </w:rPr>
        <w:t xml:space="preserve"> three immunomodulators for the treatment of severe acute respiratory </w:t>
      </w:r>
      <w:r w:rsidRPr="00685652" w:rsidR="23FA54B4">
        <w:rPr>
          <w:rFonts w:eastAsia="Times New Roman"/>
          <w:color w:val="000000" w:themeColor="text1" w:themeTint="FF" w:themeShade="FF"/>
        </w:rPr>
        <w:t xml:space="preserve">syndrome </w:t>
      </w:r>
      <w:r w:rsidRPr="00685652" w:rsidR="34C73B69">
        <w:rPr>
          <w:rFonts w:eastAsia="Times New Roman"/>
          <w:color w:val="000000" w:themeColor="text1" w:themeTint="FF" w:themeShade="FF"/>
        </w:rPr>
        <w:t>due to SARS CoV-2</w:t>
      </w:r>
      <w:r w:rsidRPr="00685652" w:rsidR="34C73B69">
        <w:rPr>
          <w:rFonts w:eastAsia="Times New Roman"/>
          <w:color w:val="000000" w:themeColor="text1" w:themeTint="FF" w:themeShade="FF"/>
        </w:rPr>
        <w:t xml:space="preserve">.  </w:t>
      </w:r>
    </w:p>
    <w:p w:rsidR="00685652" w:rsidP="00685652" w:rsidRDefault="00685652" w14:paraId="7FEA67ED" w14:textId="0175B22C">
      <w:pPr>
        <w:pStyle w:val="Normal"/>
        <w:shd w:val="clear" w:color="auto" w:fill="FFFFFF" w:themeFill="background1"/>
        <w:spacing w:before="120" w:after="120" w:line="240" w:lineRule="auto"/>
        <w:rPr>
          <w:rFonts w:eastAsia="Times New Roman"/>
          <w:color w:val="000000" w:themeColor="text1" w:themeTint="FF" w:themeShade="FF"/>
        </w:rPr>
      </w:pPr>
    </w:p>
    <w:p w:rsidR="0E4984F1" w:rsidP="00685652" w:rsidRDefault="0E4984F1" w14:paraId="7A651E75" w14:textId="3306C8D4">
      <w:pPr>
        <w:pStyle w:val="Normal"/>
        <w:shd w:val="clear" w:color="auto" w:fill="FFFFFF" w:themeFill="background1"/>
        <w:spacing w:before="120" w:after="12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685652" w:rsidR="0E4984F1">
        <w:rPr>
          <w:rFonts w:eastAsia="Times New Roman"/>
          <w:color w:val="000000" w:themeColor="text1" w:themeTint="FF" w:themeShade="FF"/>
        </w:rPr>
        <w:t xml:space="preserve">Hyperlink to JAMA:  </w:t>
      </w:r>
      <w:hyperlink r:id="Re406e06b5d2c4855">
        <w:r w:rsidRPr="00685652" w:rsidR="0E4984F1">
          <w:rPr>
            <w:rStyle w:val="Hyperlink"/>
            <w:rFonts w:ascii="Calibri" w:hAnsi="Calibri" w:eastAsia="Calibri" w:cs="Calibri"/>
            <w:i w:val="1"/>
            <w:iCs w:val="1"/>
            <w:strike w:val="0"/>
            <w:dstrike w:val="0"/>
            <w:noProof w:val="0"/>
            <w:sz w:val="22"/>
            <w:szCs w:val="22"/>
            <w:lang w:val="en-US"/>
          </w:rPr>
          <w:t>JAMA</w:t>
        </w:r>
      </w:hyperlink>
    </w:p>
    <w:p w:rsidR="0E4984F1" w:rsidP="00685652" w:rsidRDefault="0E4984F1" w14:paraId="5D118639" w14:textId="584B8755">
      <w:pPr>
        <w:pStyle w:val="Normal"/>
        <w:shd w:val="clear" w:color="auto" w:fill="FFFFFF" w:themeFill="background1"/>
        <w:spacing w:before="120" w:after="12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685652" w:rsidR="0E4984F1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Hyperlink to CT.gov:  </w:t>
      </w:r>
      <w:hyperlink r:id="R2322371bf0714544">
        <w:r w:rsidRPr="00685652" w:rsidR="0E4984F1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clinicaltrials.gov record</w:t>
        </w:r>
      </w:hyperlink>
    </w:p>
    <w:p w:rsidR="00685652" w:rsidP="00685652" w:rsidRDefault="00685652" w14:paraId="1498EDC4" w14:textId="2AA97E11">
      <w:pPr>
        <w:shd w:val="clear" w:color="auto" w:fill="FFFFFF" w:themeFill="background1"/>
        <w:spacing w:before="120" w:after="120" w:line="240" w:lineRule="auto"/>
        <w:rPr>
          <w:rFonts w:eastAsia="Times New Roman"/>
          <w:color w:val="000000" w:themeColor="text1" w:themeTint="FF" w:themeShade="FF"/>
        </w:rPr>
      </w:pPr>
    </w:p>
    <w:p w:rsidR="0E4984F1" w:rsidP="00685652" w:rsidRDefault="0E4984F1" w14:paraId="144D875E" w14:textId="3079CB60">
      <w:pPr>
        <w:shd w:val="clear" w:color="auto" w:fill="FFFFFF" w:themeFill="background1"/>
        <w:spacing w:before="120" w:after="120" w:line="240" w:lineRule="auto"/>
        <w:rPr>
          <w:rFonts w:eastAsia="Times New Roman"/>
          <w:color w:val="000000" w:themeColor="text1" w:themeTint="FF" w:themeShade="FF"/>
        </w:rPr>
      </w:pPr>
      <w:r w:rsidRPr="00685652" w:rsidR="0E4984F1">
        <w:rPr>
          <w:rFonts w:eastAsia="Times New Roman"/>
          <w:color w:val="000000" w:themeColor="text1" w:themeTint="FF" w:themeShade="FF"/>
          <w:u w:val="single"/>
        </w:rPr>
        <w:t>Detailed description</w:t>
      </w:r>
      <w:r w:rsidRPr="00685652" w:rsidR="0E4984F1">
        <w:rPr>
          <w:rFonts w:eastAsia="Times New Roman"/>
          <w:color w:val="000000" w:themeColor="text1" w:themeTint="FF" w:themeShade="FF"/>
        </w:rPr>
        <w:t xml:space="preserve"> </w:t>
      </w:r>
    </w:p>
    <w:p w:rsidRPr="00AC1328" w:rsidR="00AC1328" w:rsidP="1BC7DD0F" w:rsidRDefault="00387163" w14:paraId="2436D936" w14:textId="3A1B5528">
      <w:pPr>
        <w:shd w:val="clear" w:color="auto" w:fill="FFFFFF" w:themeFill="background1"/>
        <w:spacing w:before="120" w:after="120" w:line="240" w:lineRule="auto"/>
        <w:rPr>
          <w:rFonts w:eastAsia="Times New Roman"/>
          <w:color w:val="000000"/>
        </w:rPr>
      </w:pPr>
      <w:r w:rsidRPr="00685652" w:rsidR="66770ADE">
        <w:rPr>
          <w:rFonts w:eastAsia="Times New Roman"/>
          <w:color w:val="000000" w:themeColor="text1" w:themeTint="FF" w:themeShade="FF"/>
        </w:rPr>
        <w:t xml:space="preserve">The </w:t>
      </w:r>
      <w:r w:rsidRPr="00685652" w:rsidR="00387163">
        <w:rPr>
          <w:rFonts w:eastAsia="Times New Roman"/>
          <w:color w:val="000000" w:themeColor="text1" w:themeTint="FF" w:themeShade="FF"/>
        </w:rPr>
        <w:t xml:space="preserve">ACTIV-1 </w:t>
      </w:r>
      <w:r w:rsidRPr="00685652" w:rsidR="007E0D63">
        <w:rPr>
          <w:rFonts w:eastAsia="Times New Roman"/>
          <w:color w:val="000000" w:themeColor="text1" w:themeTint="FF" w:themeShade="FF"/>
        </w:rPr>
        <w:t xml:space="preserve">(Accelerating COVID-19 Therapeutic Interventions and Vaccines) </w:t>
      </w:r>
      <w:r w:rsidRPr="00685652" w:rsidR="5F9FF2AE">
        <w:rPr>
          <w:rFonts w:eastAsia="Times New Roman"/>
          <w:color w:val="000000" w:themeColor="text1" w:themeTint="FF" w:themeShade="FF"/>
        </w:rPr>
        <w:t>clinical trial</w:t>
      </w:r>
      <w:r w:rsidRPr="00685652" w:rsidR="00EF55E1">
        <w:rPr>
          <w:rFonts w:eastAsia="Times New Roman"/>
          <w:color w:val="000000" w:themeColor="text1" w:themeTint="FF" w:themeShade="FF"/>
        </w:rPr>
        <w:t xml:space="preserve"> </w:t>
      </w:r>
      <w:r w:rsidRPr="00685652" w:rsidR="00083535">
        <w:rPr>
          <w:rFonts w:eastAsia="Times New Roman"/>
          <w:color w:val="000000" w:themeColor="text1" w:themeTint="FF" w:themeShade="FF"/>
        </w:rPr>
        <w:t>enrolled</w:t>
      </w:r>
      <w:r w:rsidRPr="00685652" w:rsidR="006174D5">
        <w:rPr>
          <w:rFonts w:eastAsia="Times New Roman"/>
          <w:color w:val="000000" w:themeColor="text1" w:themeTint="FF" w:themeShade="FF"/>
        </w:rPr>
        <w:t xml:space="preserve"> </w:t>
      </w:r>
      <w:r w:rsidRPr="00685652" w:rsidR="008D1E90">
        <w:rPr>
          <w:rFonts w:eastAsia="Times New Roman"/>
          <w:color w:val="000000" w:themeColor="text1" w:themeTint="FF" w:themeShade="FF"/>
        </w:rPr>
        <w:t>1971</w:t>
      </w:r>
      <w:r w:rsidRPr="00685652" w:rsidR="006174D5">
        <w:rPr>
          <w:rFonts w:eastAsia="Times New Roman"/>
          <w:color w:val="000000" w:themeColor="text1" w:themeTint="FF" w:themeShade="FF"/>
        </w:rPr>
        <w:t xml:space="preserve"> patients </w:t>
      </w:r>
      <w:r w:rsidRPr="00685652" w:rsidR="00AC1328">
        <w:rPr>
          <w:rFonts w:eastAsia="Times New Roman"/>
          <w:color w:val="000000" w:themeColor="text1" w:themeTint="FF" w:themeShade="FF"/>
        </w:rPr>
        <w:t xml:space="preserve">at over </w:t>
      </w:r>
      <w:r w:rsidRPr="00685652" w:rsidR="00162991">
        <w:rPr>
          <w:rFonts w:eastAsia="Times New Roman"/>
          <w:color w:val="000000" w:themeColor="text1" w:themeTint="FF" w:themeShade="FF"/>
        </w:rPr>
        <w:t>80</w:t>
      </w:r>
      <w:r w:rsidRPr="00685652" w:rsidR="00AC1328">
        <w:rPr>
          <w:rFonts w:eastAsia="Times New Roman"/>
          <w:color w:val="000000" w:themeColor="text1" w:themeTint="FF" w:themeShade="FF"/>
        </w:rPr>
        <w:t xml:space="preserve"> sites in the US and Latin America</w:t>
      </w:r>
      <w:r w:rsidRPr="00685652" w:rsidR="00083E88">
        <w:rPr>
          <w:rFonts w:eastAsia="Times New Roman"/>
          <w:color w:val="000000" w:themeColor="text1" w:themeTint="FF" w:themeShade="FF"/>
        </w:rPr>
        <w:t xml:space="preserve"> between October 2020 and December 2021</w:t>
      </w:r>
      <w:r w:rsidRPr="00685652" w:rsidR="00083E88">
        <w:rPr>
          <w:rFonts w:eastAsia="Times New Roman"/>
          <w:color w:val="000000" w:themeColor="text1" w:themeTint="FF" w:themeShade="FF"/>
        </w:rPr>
        <w:t>.</w:t>
      </w:r>
      <w:r w:rsidRPr="00685652" w:rsidR="00975C01">
        <w:rPr>
          <w:rFonts w:eastAsia="Times New Roman"/>
          <w:color w:val="000000" w:themeColor="text1" w:themeTint="FF" w:themeShade="FF"/>
        </w:rPr>
        <w:t xml:space="preserve"> </w:t>
      </w:r>
      <w:r w:rsidRPr="00685652" w:rsidR="00AC1328">
        <w:rPr>
          <w:rFonts w:eastAsia="Times New Roman"/>
          <w:color w:val="000000" w:themeColor="text1" w:themeTint="FF" w:themeShade="FF"/>
        </w:rPr>
        <w:t xml:space="preserve"> </w:t>
      </w:r>
      <w:r w:rsidRPr="00685652" w:rsidR="00775851">
        <w:rPr>
          <w:rFonts w:eastAsia="Times New Roman"/>
          <w:color w:val="000000" w:themeColor="text1" w:themeTint="FF" w:themeShade="FF"/>
        </w:rPr>
        <w:t>Subjects were randomized to</w:t>
      </w:r>
      <w:r w:rsidRPr="00685652" w:rsidR="00BC32CD">
        <w:rPr>
          <w:rFonts w:eastAsia="Times New Roman"/>
          <w:color w:val="000000" w:themeColor="text1" w:themeTint="FF" w:themeShade="FF"/>
        </w:rPr>
        <w:t xml:space="preserve"> one of th</w:t>
      </w:r>
      <w:r w:rsidRPr="00685652" w:rsidR="00343DB9">
        <w:rPr>
          <w:rFonts w:eastAsia="Times New Roman"/>
          <w:color w:val="000000" w:themeColor="text1" w:themeTint="FF" w:themeShade="FF"/>
        </w:rPr>
        <w:t xml:space="preserve">e </w:t>
      </w:r>
      <w:r w:rsidRPr="00685652" w:rsidR="00617903">
        <w:rPr>
          <w:rFonts w:eastAsia="Times New Roman"/>
          <w:color w:val="000000" w:themeColor="text1" w:themeTint="FF" w:themeShade="FF"/>
        </w:rPr>
        <w:t>substudies</w:t>
      </w:r>
      <w:r w:rsidRPr="00685652" w:rsidR="00617903">
        <w:rPr>
          <w:rFonts w:eastAsia="Times New Roman"/>
          <w:color w:val="000000" w:themeColor="text1" w:themeTint="FF" w:themeShade="FF"/>
        </w:rPr>
        <w:t xml:space="preserve"> </w:t>
      </w:r>
      <w:r w:rsidRPr="00685652" w:rsidR="00343DB9">
        <w:rPr>
          <w:rFonts w:eastAsia="Times New Roman"/>
          <w:color w:val="000000" w:themeColor="text1" w:themeTint="FF" w:themeShade="FF"/>
        </w:rPr>
        <w:t xml:space="preserve">currently active in the study, and then to either the </w:t>
      </w:r>
      <w:r w:rsidRPr="00685652" w:rsidR="00617903">
        <w:rPr>
          <w:rFonts w:eastAsia="Times New Roman"/>
          <w:color w:val="000000" w:themeColor="text1" w:themeTint="FF" w:themeShade="FF"/>
        </w:rPr>
        <w:t xml:space="preserve">investigational </w:t>
      </w:r>
      <w:r w:rsidRPr="00685652" w:rsidR="00343DB9">
        <w:rPr>
          <w:rFonts w:eastAsia="Times New Roman"/>
          <w:color w:val="000000" w:themeColor="text1" w:themeTint="FF" w:themeShade="FF"/>
        </w:rPr>
        <w:t>agent</w:t>
      </w:r>
      <w:r w:rsidRPr="00685652" w:rsidR="00617903">
        <w:rPr>
          <w:rFonts w:eastAsia="Times New Roman"/>
          <w:color w:val="000000" w:themeColor="text1" w:themeTint="FF" w:themeShade="FF"/>
        </w:rPr>
        <w:t xml:space="preserve"> (abatacept, infliximab, </w:t>
      </w:r>
      <w:r w:rsidRPr="00685652" w:rsidR="00617903">
        <w:rPr>
          <w:rFonts w:eastAsia="Times New Roman"/>
          <w:color w:val="000000" w:themeColor="text1" w:themeTint="FF" w:themeShade="FF"/>
        </w:rPr>
        <w:t>cenicriviroc</w:t>
      </w:r>
      <w:r w:rsidRPr="00685652" w:rsidR="00617903">
        <w:rPr>
          <w:rFonts w:eastAsia="Times New Roman"/>
          <w:color w:val="000000" w:themeColor="text1" w:themeTint="FF" w:themeShade="FF"/>
        </w:rPr>
        <w:t>)</w:t>
      </w:r>
      <w:r w:rsidRPr="00685652" w:rsidR="00343DB9">
        <w:rPr>
          <w:rFonts w:eastAsia="Times New Roman"/>
          <w:color w:val="000000" w:themeColor="text1" w:themeTint="FF" w:themeShade="FF"/>
        </w:rPr>
        <w:t xml:space="preserve"> or its matching placebo</w:t>
      </w:r>
      <w:r w:rsidRPr="00685652" w:rsidR="005E5916">
        <w:rPr>
          <w:rFonts w:eastAsia="MS Mincho"/>
        </w:rPr>
        <w:t>.</w:t>
      </w:r>
      <w:r w:rsidRPr="00685652" w:rsidR="003D26DE">
        <w:rPr>
          <w:rFonts w:eastAsia="MS Mincho"/>
        </w:rPr>
        <w:t xml:space="preserve">  </w:t>
      </w:r>
      <w:r w:rsidRPr="00685652" w:rsidR="00E91086">
        <w:rPr>
          <w:rFonts w:eastAsia="MS Mincho"/>
        </w:rPr>
        <w:t>The study analyses compared each</w:t>
      </w:r>
      <w:r w:rsidRPr="00685652" w:rsidR="003D26DE">
        <w:rPr>
          <w:rFonts w:eastAsia="MS Mincho"/>
        </w:rPr>
        <w:t xml:space="preserve"> active therapy</w:t>
      </w:r>
      <w:r w:rsidRPr="00685652" w:rsidR="00E91086">
        <w:rPr>
          <w:rFonts w:eastAsia="MS Mincho"/>
        </w:rPr>
        <w:t xml:space="preserve"> </w:t>
      </w:r>
      <w:r w:rsidRPr="00685652" w:rsidR="003D26DE">
        <w:rPr>
          <w:rFonts w:eastAsia="MS Mincho"/>
        </w:rPr>
        <w:t xml:space="preserve">against a pooled placebo population consisting of placebo </w:t>
      </w:r>
      <w:r w:rsidRPr="00685652" w:rsidR="00E91086">
        <w:rPr>
          <w:rFonts w:eastAsia="MS Mincho"/>
        </w:rPr>
        <w:t>recipients from</w:t>
      </w:r>
      <w:r w:rsidRPr="00685652" w:rsidR="003D26DE">
        <w:rPr>
          <w:rFonts w:eastAsia="MS Mincho"/>
        </w:rPr>
        <w:t xml:space="preserve"> all three sub-studies (</w:t>
      </w:r>
      <w:r w:rsidRPr="00685652" w:rsidR="00E91086">
        <w:rPr>
          <w:rFonts w:eastAsia="MS Mincho"/>
        </w:rPr>
        <w:t xml:space="preserve">those </w:t>
      </w:r>
      <w:r w:rsidRPr="00685652" w:rsidR="003D26DE">
        <w:rPr>
          <w:rFonts w:eastAsia="MS Mincho"/>
        </w:rPr>
        <w:t>accrued</w:t>
      </w:r>
      <w:r w:rsidRPr="00685652" w:rsidR="003D26DE">
        <w:rPr>
          <w:rFonts w:eastAsia="MS Mincho"/>
        </w:rPr>
        <w:t xml:space="preserve"> during the time the sub-study was </w:t>
      </w:r>
      <w:r w:rsidRPr="00685652" w:rsidR="00E91086">
        <w:rPr>
          <w:rFonts w:eastAsia="MS Mincho"/>
        </w:rPr>
        <w:t xml:space="preserve">actively </w:t>
      </w:r>
      <w:r w:rsidRPr="00685652" w:rsidR="00E91086">
        <w:rPr>
          <w:rFonts w:eastAsia="MS Mincho"/>
        </w:rPr>
        <w:t>enrolling</w:t>
      </w:r>
      <w:r w:rsidRPr="00685652" w:rsidR="00617903">
        <w:rPr>
          <w:rFonts w:eastAsia="MS Mincho"/>
        </w:rPr>
        <w:t>)</w:t>
      </w:r>
      <w:r w:rsidRPr="00685652" w:rsidR="003D26DE">
        <w:rPr>
          <w:rFonts w:eastAsia="MS Mincho"/>
        </w:rPr>
        <w:t>.</w:t>
      </w:r>
      <w:r w:rsidRPr="00685652" w:rsidR="005E5916">
        <w:rPr>
          <w:rFonts w:eastAsia="MS Mincho"/>
        </w:rPr>
        <w:t xml:space="preserve"> </w:t>
      </w:r>
      <w:r w:rsidRPr="00685652" w:rsidR="009D4B3B">
        <w:rPr>
          <w:rFonts w:eastAsia="MS Mincho"/>
        </w:rPr>
        <w:t xml:space="preserve"> </w:t>
      </w:r>
      <w:r w:rsidRPr="00685652" w:rsidR="00DC5696">
        <w:rPr>
          <w:rFonts w:eastAsia="Times New Roman"/>
          <w:color w:val="000000" w:themeColor="text1" w:themeTint="FF" w:themeShade="FF"/>
        </w:rPr>
        <w:t>The eff</w:t>
      </w:r>
      <w:r w:rsidRPr="00685652" w:rsidR="2D39BB8F">
        <w:rPr>
          <w:rFonts w:eastAsia="Times New Roman"/>
          <w:color w:val="000000" w:themeColor="text1" w:themeTint="FF" w:themeShade="FF"/>
        </w:rPr>
        <w:t>icacy</w:t>
      </w:r>
      <w:r w:rsidRPr="00685652" w:rsidR="00ED02B7">
        <w:rPr>
          <w:rFonts w:eastAsia="Times New Roman"/>
          <w:color w:val="000000" w:themeColor="text1" w:themeTint="FF" w:themeShade="FF"/>
        </w:rPr>
        <w:t xml:space="preserve"> </w:t>
      </w:r>
      <w:r w:rsidRPr="00685652" w:rsidR="00DC5696">
        <w:rPr>
          <w:rFonts w:eastAsia="Times New Roman"/>
          <w:color w:val="000000" w:themeColor="text1" w:themeTint="FF" w:themeShade="FF"/>
        </w:rPr>
        <w:t>of each therapeutic agent</w:t>
      </w:r>
      <w:r w:rsidRPr="00685652" w:rsidR="18D528CE">
        <w:rPr>
          <w:rFonts w:eastAsia="Times New Roman"/>
          <w:color w:val="000000" w:themeColor="text1" w:themeTint="FF" w:themeShade="FF"/>
        </w:rPr>
        <w:t xml:space="preserve"> </w:t>
      </w:r>
      <w:r w:rsidRPr="00685652" w:rsidR="00DC5696">
        <w:rPr>
          <w:rFonts w:eastAsia="Times New Roman"/>
          <w:color w:val="000000" w:themeColor="text1" w:themeTint="FF" w:themeShade="FF"/>
        </w:rPr>
        <w:t xml:space="preserve">as add-on therapy to </w:t>
      </w:r>
      <w:r w:rsidRPr="00685652" w:rsidR="000B5F21">
        <w:rPr>
          <w:rFonts w:eastAsia="Times New Roman"/>
          <w:color w:val="000000" w:themeColor="text1" w:themeTint="FF" w:themeShade="FF"/>
        </w:rPr>
        <w:t>s</w:t>
      </w:r>
      <w:r w:rsidRPr="00685652" w:rsidR="00DA3EB2">
        <w:rPr>
          <w:rFonts w:eastAsia="Times New Roman"/>
          <w:color w:val="000000" w:themeColor="text1" w:themeTint="FF" w:themeShade="FF"/>
        </w:rPr>
        <w:t>tandard of care</w:t>
      </w:r>
      <w:r w:rsidRPr="00685652" w:rsidR="00DC5696">
        <w:rPr>
          <w:rFonts w:eastAsia="Times New Roman"/>
          <w:color w:val="000000" w:themeColor="text1" w:themeTint="FF" w:themeShade="FF"/>
        </w:rPr>
        <w:t xml:space="preserve"> w</w:t>
      </w:r>
      <w:r w:rsidRPr="00685652" w:rsidR="00083535">
        <w:rPr>
          <w:rFonts w:eastAsia="Times New Roman"/>
          <w:color w:val="000000" w:themeColor="text1" w:themeTint="FF" w:themeShade="FF"/>
        </w:rPr>
        <w:t>as</w:t>
      </w:r>
      <w:r w:rsidRPr="00685652" w:rsidR="00DC5696">
        <w:rPr>
          <w:rFonts w:eastAsia="Times New Roman"/>
          <w:color w:val="000000" w:themeColor="text1" w:themeTint="FF" w:themeShade="FF"/>
        </w:rPr>
        <w:t xml:space="preserve"> evaluated based on the primary endpoint of time to recovery by Day 29. </w:t>
      </w:r>
      <w:r w:rsidRPr="00685652" w:rsidR="003D26DE">
        <w:rPr>
          <w:rFonts w:eastAsia="Times New Roman"/>
          <w:color w:val="000000" w:themeColor="text1" w:themeTint="FF" w:themeShade="FF"/>
        </w:rPr>
        <w:t>Key s</w:t>
      </w:r>
      <w:r w:rsidRPr="00685652" w:rsidR="00DC5696">
        <w:rPr>
          <w:rFonts w:eastAsia="Times New Roman"/>
          <w:color w:val="000000" w:themeColor="text1" w:themeTint="FF" w:themeShade="FF"/>
        </w:rPr>
        <w:t xml:space="preserve">econdary </w:t>
      </w:r>
      <w:r w:rsidRPr="00685652" w:rsidR="00DC5696">
        <w:rPr>
          <w:rFonts w:eastAsia="Times New Roman"/>
          <w:color w:val="000000" w:themeColor="text1" w:themeTint="FF" w:themeShade="FF"/>
        </w:rPr>
        <w:t>objectives</w:t>
      </w:r>
      <w:r w:rsidRPr="00685652" w:rsidR="00DC5696">
        <w:rPr>
          <w:rFonts w:eastAsia="Times New Roman"/>
          <w:color w:val="000000" w:themeColor="text1" w:themeTint="FF" w:themeShade="FF"/>
        </w:rPr>
        <w:t xml:space="preserve"> </w:t>
      </w:r>
      <w:r w:rsidRPr="00685652" w:rsidR="00DA3EB2">
        <w:rPr>
          <w:rFonts w:eastAsia="Times New Roman"/>
          <w:color w:val="000000" w:themeColor="text1" w:themeTint="FF" w:themeShade="FF"/>
        </w:rPr>
        <w:t xml:space="preserve">of this study </w:t>
      </w:r>
      <w:r w:rsidRPr="00685652" w:rsidR="009C6C12">
        <w:rPr>
          <w:rFonts w:eastAsia="Times New Roman"/>
          <w:color w:val="000000" w:themeColor="text1" w:themeTint="FF" w:themeShade="FF"/>
        </w:rPr>
        <w:t xml:space="preserve">were </w:t>
      </w:r>
      <w:r w:rsidRPr="00685652" w:rsidR="00AC1328">
        <w:rPr>
          <w:rFonts w:eastAsia="Times New Roman"/>
          <w:color w:val="000000" w:themeColor="text1" w:themeTint="FF" w:themeShade="FF"/>
        </w:rPr>
        <w:t>mortality</w:t>
      </w:r>
      <w:r w:rsidRPr="00685652" w:rsidR="004209D9">
        <w:rPr>
          <w:rFonts w:eastAsia="Times New Roman"/>
          <w:color w:val="000000" w:themeColor="text1" w:themeTint="FF" w:themeShade="FF"/>
        </w:rPr>
        <w:t xml:space="preserve"> and </w:t>
      </w:r>
      <w:r w:rsidRPr="00685652" w:rsidR="002C1503">
        <w:rPr>
          <w:rFonts w:eastAsia="Times New Roman"/>
          <w:color w:val="000000" w:themeColor="text1" w:themeTint="FF" w:themeShade="FF"/>
        </w:rPr>
        <w:t>clinical improvement</w:t>
      </w:r>
      <w:r w:rsidRPr="00685652" w:rsidR="002C1503">
        <w:rPr>
          <w:rFonts w:eastAsia="Times New Roman"/>
          <w:color w:val="000000" w:themeColor="text1" w:themeTint="FF" w:themeShade="FF"/>
        </w:rPr>
        <w:t xml:space="preserve">. </w:t>
      </w:r>
      <w:r w:rsidRPr="00685652" w:rsidR="004209D9">
        <w:rPr>
          <w:rFonts w:eastAsia="Times New Roman"/>
          <w:color w:val="000000" w:themeColor="text1" w:themeTint="FF" w:themeShade="FF"/>
        </w:rPr>
        <w:t xml:space="preserve"> </w:t>
      </w:r>
      <w:r w:rsidRPr="00685652" w:rsidR="00AC1328">
        <w:rPr>
          <w:rFonts w:eastAsia="Times New Roman"/>
          <w:color w:val="000000" w:themeColor="text1" w:themeTint="FF" w:themeShade="FF"/>
        </w:rPr>
        <w:t xml:space="preserve">Comparisons of the agents among themselves </w:t>
      </w:r>
      <w:r w:rsidRPr="00685652" w:rsidR="006147E0">
        <w:rPr>
          <w:rFonts w:eastAsia="Times New Roman"/>
          <w:color w:val="000000" w:themeColor="text1" w:themeTint="FF" w:themeShade="FF"/>
        </w:rPr>
        <w:t xml:space="preserve">was </w:t>
      </w:r>
      <w:r w:rsidRPr="00685652" w:rsidR="00AC1328">
        <w:rPr>
          <w:rFonts w:eastAsia="Times New Roman"/>
          <w:color w:val="000000" w:themeColor="text1" w:themeTint="FF" w:themeShade="FF"/>
        </w:rPr>
        <w:t xml:space="preserve">not a research </w:t>
      </w:r>
      <w:r w:rsidRPr="00685652" w:rsidR="00AC1328">
        <w:rPr>
          <w:rFonts w:eastAsia="Times New Roman"/>
          <w:color w:val="000000" w:themeColor="text1" w:themeTint="FF" w:themeShade="FF"/>
        </w:rPr>
        <w:t>objective</w:t>
      </w:r>
      <w:r w:rsidRPr="00685652" w:rsidR="00AC1328">
        <w:rPr>
          <w:rFonts w:eastAsia="Times New Roman"/>
          <w:color w:val="000000" w:themeColor="text1" w:themeTint="FF" w:themeShade="FF"/>
        </w:rPr>
        <w:t>.</w:t>
      </w:r>
      <w:r w:rsidRPr="00685652" w:rsidR="00057B5E">
        <w:rPr>
          <w:rFonts w:eastAsia="Times New Roman"/>
          <w:color w:val="000000" w:themeColor="text1" w:themeTint="FF" w:themeShade="FF"/>
        </w:rPr>
        <w:t xml:space="preserve"> The </w:t>
      </w:r>
      <w:r w:rsidRPr="00685652" w:rsidR="00617903">
        <w:rPr>
          <w:rFonts w:eastAsia="Times New Roman"/>
          <w:color w:val="000000" w:themeColor="text1" w:themeTint="FF" w:themeShade="FF"/>
        </w:rPr>
        <w:t>cenicriviroc</w:t>
      </w:r>
      <w:r w:rsidRPr="00685652" w:rsidR="00617903">
        <w:rPr>
          <w:rFonts w:eastAsia="Times New Roman"/>
          <w:color w:val="000000" w:themeColor="text1" w:themeTint="FF" w:themeShade="FF"/>
        </w:rPr>
        <w:t xml:space="preserve"> (CVC)</w:t>
      </w:r>
      <w:r w:rsidRPr="00685652" w:rsidR="00057B5E">
        <w:rPr>
          <w:rFonts w:eastAsia="Times New Roman"/>
          <w:color w:val="000000" w:themeColor="text1" w:themeTint="FF" w:themeShade="FF"/>
        </w:rPr>
        <w:t xml:space="preserve"> </w:t>
      </w:r>
      <w:r w:rsidRPr="00685652" w:rsidR="00E91086">
        <w:rPr>
          <w:rFonts w:eastAsia="Times New Roman"/>
          <w:color w:val="000000" w:themeColor="text1" w:themeTint="FF" w:themeShade="FF"/>
        </w:rPr>
        <w:t>sub-</w:t>
      </w:r>
      <w:r w:rsidRPr="00685652" w:rsidR="00057B5E">
        <w:rPr>
          <w:rFonts w:eastAsia="Times New Roman"/>
          <w:color w:val="000000" w:themeColor="text1" w:themeTint="FF" w:themeShade="FF"/>
        </w:rPr>
        <w:t>study was closed to enrollment on September 3, 2021, due to futility.</w:t>
      </w:r>
    </w:p>
    <w:p w:rsidRPr="00AC1328" w:rsidR="00441ECE" w:rsidP="00AC1328" w:rsidRDefault="000B7BC8" w14:paraId="3C556D17" w14:textId="7ADFF852">
      <w:p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</w:t>
      </w:r>
      <w:r w:rsidR="000C5545">
        <w:rPr>
          <w:rFonts w:eastAsia="Times New Roman" w:cstheme="minorHAnsi"/>
          <w:color w:val="000000"/>
        </w:rPr>
        <w:t>valuations of efficacy</w:t>
      </w:r>
      <w:r w:rsidR="003D26DE">
        <w:rPr>
          <w:rFonts w:eastAsia="Times New Roman" w:cstheme="minorHAnsi"/>
          <w:color w:val="000000"/>
        </w:rPr>
        <w:t xml:space="preserve"> also</w:t>
      </w:r>
      <w:r w:rsidR="000C554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included </w:t>
      </w:r>
      <w:r w:rsidR="003D26DE">
        <w:rPr>
          <w:rFonts w:eastAsia="Times New Roman" w:cstheme="minorHAnsi"/>
          <w:color w:val="000000"/>
        </w:rPr>
        <w:t xml:space="preserve">8-point </w:t>
      </w:r>
      <w:r w:rsidR="00C87A71">
        <w:rPr>
          <w:rFonts w:eastAsia="Times New Roman" w:cstheme="minorHAnsi"/>
          <w:color w:val="000000"/>
        </w:rPr>
        <w:t>O</w:t>
      </w:r>
      <w:r>
        <w:rPr>
          <w:rFonts w:eastAsia="Times New Roman" w:cstheme="minorHAnsi"/>
          <w:color w:val="000000"/>
        </w:rPr>
        <w:t xml:space="preserve">rdinal </w:t>
      </w:r>
      <w:r w:rsidR="00C87A71"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>cale</w:t>
      </w:r>
      <w:r w:rsidR="003D26DE">
        <w:rPr>
          <w:rFonts w:eastAsia="Times New Roman" w:cstheme="minorHAnsi"/>
          <w:color w:val="000000"/>
        </w:rPr>
        <w:t>, incidence</w:t>
      </w:r>
      <w:r w:rsidR="00C422D7">
        <w:rPr>
          <w:rFonts w:eastAsia="Times New Roman" w:cstheme="minorHAnsi"/>
          <w:color w:val="000000"/>
        </w:rPr>
        <w:t>,</w:t>
      </w:r>
      <w:r w:rsidR="003D26DE">
        <w:rPr>
          <w:rFonts w:eastAsia="Times New Roman" w:cstheme="minorHAnsi"/>
          <w:color w:val="000000"/>
        </w:rPr>
        <w:t xml:space="preserve"> and duration of new oxygen use,</w:t>
      </w:r>
      <w:r>
        <w:rPr>
          <w:rFonts w:eastAsia="Times New Roman" w:cstheme="minorHAnsi"/>
          <w:color w:val="000000"/>
        </w:rPr>
        <w:t xml:space="preserve"> and </w:t>
      </w:r>
      <w:r w:rsidR="003D26DE">
        <w:rPr>
          <w:rFonts w:eastAsia="Times New Roman" w:cstheme="minorHAnsi"/>
          <w:color w:val="000000"/>
        </w:rPr>
        <w:t xml:space="preserve">(as an exploratory assessment) </w:t>
      </w:r>
      <w:r w:rsidR="00A869C7">
        <w:rPr>
          <w:rFonts w:eastAsia="Times New Roman" w:cstheme="minorHAnsi"/>
          <w:color w:val="000000"/>
        </w:rPr>
        <w:t>National Early Warning Score (</w:t>
      </w:r>
      <w:r>
        <w:rPr>
          <w:rFonts w:eastAsia="Times New Roman" w:cstheme="minorHAnsi"/>
          <w:color w:val="000000"/>
        </w:rPr>
        <w:t>NEWS</w:t>
      </w:r>
      <w:r w:rsidR="00A869C7">
        <w:rPr>
          <w:rFonts w:eastAsia="Times New Roman" w:cstheme="minorHAnsi"/>
          <w:color w:val="000000"/>
        </w:rPr>
        <w:t>)</w:t>
      </w:r>
      <w:r>
        <w:rPr>
          <w:rFonts w:eastAsia="Times New Roman" w:cstheme="minorHAnsi"/>
          <w:color w:val="000000"/>
        </w:rPr>
        <w:t>. Safety was evalu</w:t>
      </w:r>
      <w:r w:rsidR="00796B8A">
        <w:rPr>
          <w:rFonts w:eastAsia="Times New Roman" w:cstheme="minorHAnsi"/>
          <w:color w:val="000000"/>
        </w:rPr>
        <w:t xml:space="preserve">ated with </w:t>
      </w:r>
      <w:r>
        <w:rPr>
          <w:rFonts w:eastAsia="Times New Roman" w:cstheme="minorHAnsi"/>
          <w:color w:val="000000"/>
        </w:rPr>
        <w:t>laboratory and adverse event assessments</w:t>
      </w:r>
      <w:r w:rsidR="003D26DE">
        <w:rPr>
          <w:rFonts w:eastAsia="Times New Roman" w:cstheme="minorHAnsi"/>
          <w:color w:val="000000"/>
        </w:rPr>
        <w:t>, as well as evaluations of extrapulmonary manifestations</w:t>
      </w:r>
      <w:r>
        <w:rPr>
          <w:rFonts w:eastAsia="Times New Roman" w:cstheme="minorHAnsi"/>
          <w:color w:val="000000"/>
        </w:rPr>
        <w:t>.  Blood was collected at select sites</w:t>
      </w:r>
      <w:r w:rsidR="00A40DBF">
        <w:rPr>
          <w:rFonts w:eastAsia="Times New Roman" w:cstheme="minorHAnsi"/>
          <w:color w:val="000000"/>
        </w:rPr>
        <w:t xml:space="preserve"> for future secondary research</w:t>
      </w:r>
      <w:r w:rsidR="00E36C1B">
        <w:rPr>
          <w:rFonts w:eastAsia="Times New Roman" w:cstheme="minorHAnsi"/>
          <w:color w:val="000000"/>
        </w:rPr>
        <w:t xml:space="preserve">. </w:t>
      </w:r>
    </w:p>
    <w:p w:rsidR="00F23DB5" w:rsidRDefault="00AC1328" w14:paraId="1241F6E0" w14:textId="315A0A37">
      <w:pPr>
        <w:spacing w:after="0" w:line="240" w:lineRule="auto"/>
        <w:rPr>
          <w:rFonts w:eastAsia="Times New Roman"/>
          <w:color w:val="000000"/>
        </w:rPr>
      </w:pPr>
      <w:r w:rsidRPr="1E733845">
        <w:rPr>
          <w:rFonts w:eastAsia="Times New Roman"/>
          <w:color w:val="000000" w:themeColor="text1"/>
        </w:rPr>
        <w:t>Trial participants w</w:t>
      </w:r>
      <w:r w:rsidRPr="1E733845" w:rsidR="008C214A">
        <w:rPr>
          <w:rFonts w:eastAsia="Times New Roman"/>
          <w:color w:val="000000" w:themeColor="text1"/>
        </w:rPr>
        <w:t xml:space="preserve">ere </w:t>
      </w:r>
      <w:r w:rsidRPr="1E733845">
        <w:rPr>
          <w:rFonts w:eastAsia="Times New Roman"/>
          <w:color w:val="000000" w:themeColor="text1"/>
        </w:rPr>
        <w:t>assessed daily while hospitalized</w:t>
      </w:r>
      <w:r w:rsidRPr="1E733845" w:rsidR="00EB3063">
        <w:rPr>
          <w:rFonts w:eastAsia="Times New Roman"/>
          <w:color w:val="000000" w:themeColor="text1"/>
        </w:rPr>
        <w:t xml:space="preserve"> through Day 29 or discharge</w:t>
      </w:r>
      <w:r w:rsidRPr="1E733845" w:rsidR="002F237C">
        <w:rPr>
          <w:rFonts w:eastAsia="Times New Roman"/>
          <w:color w:val="000000" w:themeColor="text1"/>
        </w:rPr>
        <w:t>.</w:t>
      </w:r>
      <w:r w:rsidRPr="1E733845" w:rsidR="00EB3063">
        <w:rPr>
          <w:rFonts w:eastAsia="Times New Roman"/>
          <w:color w:val="000000" w:themeColor="text1"/>
        </w:rPr>
        <w:t xml:space="preserve"> </w:t>
      </w:r>
      <w:r w:rsidRPr="1E733845">
        <w:rPr>
          <w:rFonts w:eastAsia="Times New Roman"/>
          <w:color w:val="000000" w:themeColor="text1"/>
        </w:rPr>
        <w:t xml:space="preserve"> </w:t>
      </w:r>
      <w:r w:rsidRPr="1E733845" w:rsidR="007722AD">
        <w:rPr>
          <w:rFonts w:eastAsia="Times New Roman"/>
          <w:color w:val="000000" w:themeColor="text1"/>
        </w:rPr>
        <w:t>Outpatient</w:t>
      </w:r>
      <w:r w:rsidRPr="1E733845">
        <w:rPr>
          <w:rFonts w:eastAsia="Times New Roman"/>
          <w:color w:val="000000" w:themeColor="text1"/>
        </w:rPr>
        <w:t xml:space="preserve"> follow-up study visits </w:t>
      </w:r>
      <w:r w:rsidRPr="1E733845" w:rsidR="007722AD">
        <w:rPr>
          <w:rFonts w:eastAsia="Times New Roman"/>
          <w:color w:val="000000" w:themeColor="text1"/>
        </w:rPr>
        <w:t xml:space="preserve">occurred </w:t>
      </w:r>
      <w:r w:rsidRPr="1E733845" w:rsidR="00F2586D">
        <w:rPr>
          <w:rFonts w:eastAsia="Times New Roman"/>
          <w:color w:val="000000" w:themeColor="text1"/>
        </w:rPr>
        <w:t>on</w:t>
      </w:r>
      <w:r w:rsidRPr="1E733845" w:rsidR="007722AD">
        <w:rPr>
          <w:rFonts w:eastAsia="Times New Roman"/>
          <w:color w:val="000000" w:themeColor="text1"/>
        </w:rPr>
        <w:t xml:space="preserve"> </w:t>
      </w:r>
      <w:r w:rsidRPr="1E733845">
        <w:rPr>
          <w:rFonts w:eastAsia="Times New Roman"/>
          <w:color w:val="000000" w:themeColor="text1"/>
        </w:rPr>
        <w:t>Days 8, 11, 15</w:t>
      </w:r>
      <w:r w:rsidRPr="1E733845" w:rsidR="00DD4480">
        <w:rPr>
          <w:rFonts w:eastAsia="Times New Roman"/>
          <w:color w:val="000000" w:themeColor="text1"/>
        </w:rPr>
        <w:t xml:space="preserve"> </w:t>
      </w:r>
      <w:r w:rsidRPr="1E733845">
        <w:rPr>
          <w:rFonts w:eastAsia="Times New Roman"/>
          <w:color w:val="000000" w:themeColor="text1"/>
        </w:rPr>
        <w:t xml:space="preserve">and 29. </w:t>
      </w:r>
      <w:r w:rsidRPr="1E733845" w:rsidR="008C214A">
        <w:rPr>
          <w:rFonts w:eastAsia="Times New Roman"/>
          <w:color w:val="000000" w:themeColor="text1"/>
        </w:rPr>
        <w:t xml:space="preserve">Follow up assessments by phone occurred at </w:t>
      </w:r>
      <w:r w:rsidRPr="1E733845">
        <w:rPr>
          <w:rFonts w:eastAsia="Times New Roman"/>
          <w:color w:val="000000" w:themeColor="text1"/>
        </w:rPr>
        <w:t>Day</w:t>
      </w:r>
      <w:r w:rsidRPr="1E733845" w:rsidR="00DC5696">
        <w:rPr>
          <w:rFonts w:eastAsia="Times New Roman"/>
          <w:color w:val="000000" w:themeColor="text1"/>
        </w:rPr>
        <w:t>s 22 and 60</w:t>
      </w:r>
      <w:r w:rsidRPr="1E733845" w:rsidR="000B7BC8">
        <w:rPr>
          <w:rFonts w:eastAsia="Times New Roman"/>
          <w:color w:val="000000" w:themeColor="text1"/>
        </w:rPr>
        <w:t xml:space="preserve"> to</w:t>
      </w:r>
      <w:r w:rsidR="00617903">
        <w:rPr>
          <w:rFonts w:eastAsia="Times New Roman"/>
          <w:color w:val="000000" w:themeColor="text1"/>
        </w:rPr>
        <w:t xml:space="preserve"> assess clinical status and </w:t>
      </w:r>
      <w:r w:rsidRPr="1E733845" w:rsidR="4DD54F3A">
        <w:rPr>
          <w:rFonts w:eastAsia="Times New Roman"/>
          <w:color w:val="000000" w:themeColor="text1"/>
        </w:rPr>
        <w:t>adverse event</w:t>
      </w:r>
      <w:r w:rsidR="00617903">
        <w:rPr>
          <w:rFonts w:eastAsia="Times New Roman"/>
          <w:color w:val="000000" w:themeColor="text1"/>
        </w:rPr>
        <w:t>s</w:t>
      </w:r>
      <w:r w:rsidRPr="1E733845" w:rsidR="4DD54F3A">
        <w:rPr>
          <w:rFonts w:eastAsia="Times New Roman"/>
          <w:color w:val="000000" w:themeColor="text1"/>
        </w:rPr>
        <w:t xml:space="preserve">. </w:t>
      </w:r>
    </w:p>
    <w:p w:rsidR="00F23DB5" w:rsidRDefault="00F23DB5" w14:paraId="399EF022" w14:textId="77777777">
      <w:pPr>
        <w:spacing w:after="0" w:line="240" w:lineRule="auto"/>
        <w:rPr>
          <w:rFonts w:eastAsia="Times New Roman" w:cstheme="minorHAnsi"/>
          <w:color w:val="000000"/>
        </w:rPr>
      </w:pPr>
    </w:p>
    <w:p w:rsidR="00F23DB5" w:rsidP="00776218" w:rsidRDefault="00F23DB5" w14:paraId="6DDA8354" w14:textId="6646A224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</w:t>
      </w:r>
      <w:r w:rsidR="00E91086">
        <w:rPr>
          <w:rFonts w:eastAsia="Times New Roman" w:cstheme="minorHAnsi"/>
          <w:color w:val="000000"/>
        </w:rPr>
        <w:t xml:space="preserve">results </w:t>
      </w:r>
      <w:r>
        <w:rPr>
          <w:rFonts w:eastAsia="Times New Roman" w:cstheme="minorHAnsi"/>
          <w:color w:val="000000"/>
        </w:rPr>
        <w:t xml:space="preserve">for this study </w:t>
      </w:r>
      <w:r w:rsidR="00E91086">
        <w:rPr>
          <w:rFonts w:eastAsia="Times New Roman" w:cstheme="minorHAnsi"/>
          <w:color w:val="000000"/>
        </w:rPr>
        <w:t>are</w:t>
      </w:r>
      <w:r w:rsidR="00F32A6D">
        <w:rPr>
          <w:rFonts w:eastAsia="Times New Roman" w:cstheme="minorHAnsi"/>
          <w:color w:val="000000"/>
        </w:rPr>
        <w:t xml:space="preserve"> available</w:t>
      </w:r>
      <w:r>
        <w:rPr>
          <w:rFonts w:eastAsia="Times New Roman" w:cstheme="minorHAnsi"/>
          <w:color w:val="000000"/>
        </w:rPr>
        <w:t xml:space="preserve"> as three separate </w:t>
      </w:r>
      <w:r w:rsidR="00EC4874">
        <w:rPr>
          <w:rFonts w:eastAsia="Times New Roman" w:cstheme="minorHAnsi"/>
          <w:color w:val="000000"/>
        </w:rPr>
        <w:t>datasets</w:t>
      </w:r>
      <w:r>
        <w:rPr>
          <w:rFonts w:eastAsia="Times New Roman" w:cstheme="minorHAnsi"/>
          <w:color w:val="000000"/>
        </w:rPr>
        <w:t xml:space="preserve">, one for each </w:t>
      </w:r>
      <w:r w:rsidR="00E91086">
        <w:rPr>
          <w:rFonts w:eastAsia="Times New Roman" w:cstheme="minorHAnsi"/>
          <w:color w:val="000000"/>
        </w:rPr>
        <w:t>sub-study</w:t>
      </w:r>
      <w:r w:rsidR="00473274">
        <w:rPr>
          <w:rFonts w:eastAsia="Times New Roman" w:cstheme="minorHAnsi"/>
          <w:color w:val="000000"/>
        </w:rPr>
        <w:t xml:space="preserve">. </w:t>
      </w:r>
      <w:r w:rsidR="00E1100B">
        <w:rPr>
          <w:rFonts w:eastAsia="Times New Roman" w:cstheme="minorHAnsi"/>
          <w:color w:val="000000"/>
        </w:rPr>
        <w:t>Enrollment n</w:t>
      </w:r>
      <w:r w:rsidR="00027F77">
        <w:rPr>
          <w:rFonts w:eastAsia="Times New Roman" w:cstheme="minorHAnsi"/>
          <w:color w:val="000000"/>
        </w:rPr>
        <w:t xml:space="preserve">umbers for each </w:t>
      </w:r>
      <w:r w:rsidR="004273A0">
        <w:rPr>
          <w:rFonts w:eastAsia="Times New Roman" w:cstheme="minorHAnsi"/>
          <w:color w:val="000000"/>
        </w:rPr>
        <w:t>sub</w:t>
      </w:r>
      <w:r w:rsidR="00E91086">
        <w:rPr>
          <w:rFonts w:eastAsia="Times New Roman" w:cstheme="minorHAnsi"/>
          <w:color w:val="000000"/>
        </w:rPr>
        <w:t>-</w:t>
      </w:r>
      <w:r w:rsidR="004273A0">
        <w:rPr>
          <w:rFonts w:eastAsia="Times New Roman" w:cstheme="minorHAnsi"/>
          <w:color w:val="000000"/>
        </w:rPr>
        <w:t>study</w:t>
      </w:r>
      <w:r w:rsidR="00E91086">
        <w:rPr>
          <w:rFonts w:eastAsia="Times New Roman" w:cstheme="minorHAnsi"/>
          <w:color w:val="000000"/>
        </w:rPr>
        <w:t>, including the randomization within each sub-study (active vs. matched placebo) and the pooled placebo population for analysis,</w:t>
      </w:r>
      <w:r w:rsidR="004273A0">
        <w:rPr>
          <w:rFonts w:eastAsia="Times New Roman" w:cstheme="minorHAnsi"/>
          <w:color w:val="000000"/>
        </w:rPr>
        <w:t xml:space="preserve"> are provided in the following table: </w:t>
      </w:r>
    </w:p>
    <w:p w:rsidR="00776218" w:rsidP="00776218" w:rsidRDefault="00776218" w14:paraId="2DC603AA" w14:textId="77777777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31"/>
        <w:gridCol w:w="1459"/>
        <w:gridCol w:w="1530"/>
        <w:gridCol w:w="1260"/>
      </w:tblGrid>
      <w:tr w:rsidR="00DC1412" w:rsidTr="00C008DA" w14:paraId="4273D36D" w14:textId="77777777">
        <w:tc>
          <w:tcPr>
            <w:tcW w:w="4031" w:type="dxa"/>
          </w:tcPr>
          <w:p w:rsidR="00DC1412" w:rsidP="00776218" w:rsidRDefault="00DC1412" w14:paraId="13906C26" w14:textId="77777777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Pr="00577B25" w:rsidR="00DC1412" w:rsidP="00577B25" w:rsidRDefault="00DC1412" w14:paraId="2691A1CF" w14:textId="1D041C31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77B25">
              <w:rPr>
                <w:rFonts w:eastAsia="Times New Roman" w:cstheme="minorHAnsi"/>
                <w:b/>
                <w:bCs/>
                <w:color w:val="000000"/>
              </w:rPr>
              <w:t>Abatacept</w:t>
            </w:r>
          </w:p>
        </w:tc>
        <w:tc>
          <w:tcPr>
            <w:tcW w:w="1530" w:type="dxa"/>
            <w:shd w:val="clear" w:color="auto" w:fill="E7E6E6" w:themeFill="background2"/>
          </w:tcPr>
          <w:p w:rsidRPr="00577B25" w:rsidR="00DC1412" w:rsidP="00577B25" w:rsidRDefault="00DC1412" w14:paraId="3BF937EC" w14:textId="0084B1ED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77B25">
              <w:rPr>
                <w:rFonts w:eastAsia="Times New Roman" w:cstheme="minorHAnsi"/>
                <w:b/>
                <w:bCs/>
                <w:color w:val="000000"/>
              </w:rPr>
              <w:t>Infliximab</w:t>
            </w:r>
          </w:p>
        </w:tc>
        <w:tc>
          <w:tcPr>
            <w:tcW w:w="1260" w:type="dxa"/>
            <w:shd w:val="clear" w:color="auto" w:fill="E7E6E6" w:themeFill="background2"/>
          </w:tcPr>
          <w:p w:rsidRPr="00577B25" w:rsidR="00DC1412" w:rsidP="00577B25" w:rsidRDefault="00DC1412" w14:paraId="62E33BA3" w14:textId="63C4F6A6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77B25">
              <w:rPr>
                <w:rFonts w:eastAsia="Times New Roman" w:cstheme="minorHAnsi"/>
                <w:b/>
                <w:bCs/>
                <w:color w:val="000000"/>
              </w:rPr>
              <w:t>CVC</w:t>
            </w:r>
          </w:p>
        </w:tc>
      </w:tr>
      <w:tr w:rsidR="00776218" w:rsidTr="00C008DA" w14:paraId="56661404" w14:textId="77777777">
        <w:tc>
          <w:tcPr>
            <w:tcW w:w="4031" w:type="dxa"/>
          </w:tcPr>
          <w:p w:rsidRPr="00577B25" w:rsidR="00776218" w:rsidP="00776218" w:rsidRDefault="00DC1412" w14:paraId="0E2ACAE4" w14:textId="4104622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577B25">
              <w:rPr>
                <w:rFonts w:eastAsia="Times New Roman" w:cstheme="minorHAnsi"/>
                <w:b/>
                <w:bCs/>
                <w:color w:val="000000"/>
              </w:rPr>
              <w:t>Active Drug</w:t>
            </w:r>
          </w:p>
        </w:tc>
        <w:tc>
          <w:tcPr>
            <w:tcW w:w="1459" w:type="dxa"/>
          </w:tcPr>
          <w:p w:rsidR="00776218" w:rsidP="00577B25" w:rsidRDefault="00DC1412" w14:paraId="1AB642DB" w14:textId="696B66AC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524</w:t>
            </w:r>
          </w:p>
        </w:tc>
        <w:tc>
          <w:tcPr>
            <w:tcW w:w="1530" w:type="dxa"/>
          </w:tcPr>
          <w:p w:rsidR="00776218" w:rsidP="00577B25" w:rsidRDefault="00027F77" w14:paraId="5D2F7D9C" w14:textId="644AB0BA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531</w:t>
            </w:r>
          </w:p>
        </w:tc>
        <w:tc>
          <w:tcPr>
            <w:tcW w:w="1260" w:type="dxa"/>
          </w:tcPr>
          <w:p w:rsidR="00776218" w:rsidP="00577B25" w:rsidRDefault="00027F77" w14:paraId="01F2B067" w14:textId="6B3CE655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360</w:t>
            </w:r>
          </w:p>
        </w:tc>
      </w:tr>
      <w:tr w:rsidR="00776218" w:rsidTr="00C008DA" w14:paraId="7EE3B8DA" w14:textId="77777777">
        <w:tc>
          <w:tcPr>
            <w:tcW w:w="4031" w:type="dxa"/>
          </w:tcPr>
          <w:p w:rsidRPr="00577B25" w:rsidR="00776218" w:rsidP="00776218" w:rsidRDefault="00DC1412" w14:paraId="251ACAED" w14:textId="37A13E16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577B25">
              <w:rPr>
                <w:rFonts w:eastAsia="Times New Roman" w:cstheme="minorHAnsi"/>
                <w:b/>
                <w:bCs/>
                <w:color w:val="000000"/>
              </w:rPr>
              <w:t>Matched placebo</w:t>
            </w:r>
          </w:p>
        </w:tc>
        <w:tc>
          <w:tcPr>
            <w:tcW w:w="1459" w:type="dxa"/>
          </w:tcPr>
          <w:p w:rsidR="00776218" w:rsidP="00577B25" w:rsidRDefault="00DC1412" w14:paraId="0FE7BF0A" w14:textId="0FCAD5B7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214</w:t>
            </w:r>
          </w:p>
        </w:tc>
        <w:tc>
          <w:tcPr>
            <w:tcW w:w="1530" w:type="dxa"/>
          </w:tcPr>
          <w:p w:rsidR="00776218" w:rsidP="00577B25" w:rsidRDefault="00027F77" w14:paraId="4898AD69" w14:textId="7EB2D6C9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215</w:t>
            </w:r>
          </w:p>
        </w:tc>
        <w:tc>
          <w:tcPr>
            <w:tcW w:w="1260" w:type="dxa"/>
          </w:tcPr>
          <w:p w:rsidR="00776218" w:rsidP="00577B25" w:rsidRDefault="00027F77" w14:paraId="244179A0" w14:textId="546B2000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127</w:t>
            </w:r>
          </w:p>
        </w:tc>
      </w:tr>
      <w:tr w:rsidR="00776218" w:rsidTr="00C008DA" w14:paraId="23D65135" w14:textId="77777777">
        <w:tc>
          <w:tcPr>
            <w:tcW w:w="4031" w:type="dxa"/>
          </w:tcPr>
          <w:p w:rsidRPr="00577B25" w:rsidR="00776218" w:rsidP="00776218" w:rsidRDefault="00E91086" w14:paraId="01377936" w14:textId="5EDCA3D4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Pooled</w:t>
            </w:r>
            <w:r w:rsidRPr="00577B25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577B25" w:rsidR="00DC1412">
              <w:rPr>
                <w:rFonts w:eastAsia="Times New Roman" w:cstheme="minorHAnsi"/>
                <w:b/>
                <w:bCs/>
                <w:color w:val="000000"/>
              </w:rPr>
              <w:t>placebo</w:t>
            </w:r>
            <w:r w:rsidR="00577B25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577B25" w:rsidR="00027F77">
              <w:rPr>
                <w:rFonts w:eastAsia="Times New Roman" w:cstheme="minorHAnsi"/>
                <w:b/>
                <w:bCs/>
                <w:color w:val="000000"/>
              </w:rPr>
              <w:t>(across all sub</w:t>
            </w:r>
            <w:r>
              <w:rPr>
                <w:rFonts w:eastAsia="Times New Roman" w:cstheme="minorHAnsi"/>
                <w:b/>
                <w:bCs/>
                <w:color w:val="000000"/>
              </w:rPr>
              <w:t>-</w:t>
            </w:r>
            <w:r w:rsidRPr="00577B25" w:rsidR="00027F77">
              <w:rPr>
                <w:rFonts w:eastAsia="Times New Roman" w:cstheme="minorHAnsi"/>
                <w:b/>
                <w:bCs/>
                <w:color w:val="000000"/>
              </w:rPr>
              <w:t xml:space="preserve">studies) </w:t>
            </w:r>
          </w:p>
        </w:tc>
        <w:tc>
          <w:tcPr>
            <w:tcW w:w="1459" w:type="dxa"/>
          </w:tcPr>
          <w:p w:rsidR="00776218" w:rsidP="00577B25" w:rsidRDefault="00DC1412" w14:paraId="4831C364" w14:textId="621A3024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525</w:t>
            </w:r>
          </w:p>
        </w:tc>
        <w:tc>
          <w:tcPr>
            <w:tcW w:w="1530" w:type="dxa"/>
          </w:tcPr>
          <w:p w:rsidR="00776218" w:rsidP="00577B25" w:rsidRDefault="00027F77" w14:paraId="3821A4B4" w14:textId="054F3D8B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530</w:t>
            </w:r>
          </w:p>
        </w:tc>
        <w:tc>
          <w:tcPr>
            <w:tcW w:w="1260" w:type="dxa"/>
          </w:tcPr>
          <w:p w:rsidR="00776218" w:rsidP="00577B25" w:rsidRDefault="00027F77" w14:paraId="7DB8565E" w14:textId="3A4F0585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363</w:t>
            </w:r>
          </w:p>
        </w:tc>
      </w:tr>
    </w:tbl>
    <w:p w:rsidR="00776218" w:rsidP="00776218" w:rsidRDefault="00776218" w14:paraId="3856E172" w14:textId="77777777">
      <w:pPr>
        <w:spacing w:after="0" w:line="240" w:lineRule="auto"/>
        <w:rPr>
          <w:rFonts w:eastAsia="Times New Roman" w:cstheme="minorHAnsi"/>
          <w:color w:val="000000"/>
        </w:rPr>
      </w:pPr>
    </w:p>
    <w:p w:rsidR="00B056D7" w:rsidRDefault="00B056D7" w14:paraId="1879E143" w14:textId="77777777">
      <w:pPr>
        <w:spacing w:after="0" w:line="240" w:lineRule="auto"/>
        <w:rPr>
          <w:rFonts w:eastAsia="Times New Roman" w:cstheme="minorHAnsi"/>
          <w:color w:val="000000"/>
        </w:rPr>
      </w:pPr>
    </w:p>
    <w:p w:rsidR="00B056D7" w:rsidRDefault="00B056D7" w14:paraId="74DD215E" w14:textId="77777777">
      <w:pPr>
        <w:spacing w:after="0" w:line="240" w:lineRule="auto"/>
        <w:rPr>
          <w:rFonts w:eastAsia="Times New Roman" w:cstheme="minorHAnsi"/>
          <w:color w:val="000000"/>
        </w:rPr>
      </w:pPr>
    </w:p>
    <w:p w:rsidRPr="00032E31" w:rsidR="00A84DB8" w:rsidRDefault="00A84DB8" w14:paraId="6ED69F19" w14:textId="77777777">
      <w:pPr>
        <w:rPr>
          <w:rFonts w:cstheme="minorHAnsi"/>
        </w:rPr>
      </w:pPr>
    </w:p>
    <w:sectPr w:rsidRPr="00032E31" w:rsidR="00A84DB8">
      <w:head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37BA" w:rsidP="00B26828" w:rsidRDefault="002637BA" w14:paraId="643197D3" w14:textId="77777777">
      <w:pPr>
        <w:spacing w:after="0" w:line="240" w:lineRule="auto"/>
      </w:pPr>
      <w:r>
        <w:separator/>
      </w:r>
    </w:p>
  </w:endnote>
  <w:endnote w:type="continuationSeparator" w:id="0">
    <w:p w:rsidR="002637BA" w:rsidP="00B26828" w:rsidRDefault="002637BA" w14:paraId="05FD4961" w14:textId="77777777">
      <w:pPr>
        <w:spacing w:after="0" w:line="240" w:lineRule="auto"/>
      </w:pPr>
      <w:r>
        <w:continuationSeparator/>
      </w:r>
    </w:p>
  </w:endnote>
  <w:endnote w:type="continuationNotice" w:id="1">
    <w:p w:rsidR="006B436F" w:rsidRDefault="006B436F" w14:paraId="2B65B96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37BA" w:rsidP="00B26828" w:rsidRDefault="002637BA" w14:paraId="1F75B450" w14:textId="77777777">
      <w:pPr>
        <w:spacing w:after="0" w:line="240" w:lineRule="auto"/>
      </w:pPr>
      <w:r>
        <w:separator/>
      </w:r>
    </w:p>
  </w:footnote>
  <w:footnote w:type="continuationSeparator" w:id="0">
    <w:p w:rsidR="002637BA" w:rsidP="00B26828" w:rsidRDefault="002637BA" w14:paraId="07840A63" w14:textId="77777777">
      <w:pPr>
        <w:spacing w:after="0" w:line="240" w:lineRule="auto"/>
      </w:pPr>
      <w:r>
        <w:continuationSeparator/>
      </w:r>
    </w:p>
  </w:footnote>
  <w:footnote w:type="continuationNotice" w:id="1">
    <w:p w:rsidR="006B436F" w:rsidRDefault="006B436F" w14:paraId="3C0BAA3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6828" w:rsidRDefault="00B26828" w14:paraId="57B2BE8D" w14:textId="693E72A4">
    <w:pPr>
      <w:pStyle w:val="Header"/>
    </w:pPr>
    <w:r>
      <w:t xml:space="preserve">ACTIV-1 </w:t>
    </w:r>
    <w:r w:rsidR="007B517E">
      <w:t>N</w:t>
    </w:r>
    <w:r w:rsidR="0033248B">
      <w:t>I</w:t>
    </w:r>
    <w:r w:rsidR="007B517E">
      <w:t xml:space="preserve">AID </w:t>
    </w:r>
    <w:r w:rsidR="00CB13D6">
      <w:t xml:space="preserve">Repository Study Information Page </w:t>
    </w:r>
    <w:r w:rsidR="00CB13D6">
      <w:tab/>
    </w:r>
    <w:r w:rsidR="002F5150">
      <w:tab/>
    </w:r>
    <w:r w:rsidR="002F5150">
      <w:t>26 April 2023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328"/>
    <w:rsid w:val="00010778"/>
    <w:rsid w:val="00027F77"/>
    <w:rsid w:val="00032E31"/>
    <w:rsid w:val="00057B5E"/>
    <w:rsid w:val="00062DD2"/>
    <w:rsid w:val="00063A2C"/>
    <w:rsid w:val="00083535"/>
    <w:rsid w:val="00083E88"/>
    <w:rsid w:val="000A0F08"/>
    <w:rsid w:val="000A394A"/>
    <w:rsid w:val="000B5F21"/>
    <w:rsid w:val="000B7BC8"/>
    <w:rsid w:val="000C5545"/>
    <w:rsid w:val="00120850"/>
    <w:rsid w:val="00135FBB"/>
    <w:rsid w:val="00162991"/>
    <w:rsid w:val="00165604"/>
    <w:rsid w:val="001C0434"/>
    <w:rsid w:val="001C2ED4"/>
    <w:rsid w:val="001F13E1"/>
    <w:rsid w:val="002016CE"/>
    <w:rsid w:val="00204675"/>
    <w:rsid w:val="002179EA"/>
    <w:rsid w:val="00255A4A"/>
    <w:rsid w:val="002637BA"/>
    <w:rsid w:val="002779E0"/>
    <w:rsid w:val="00281153"/>
    <w:rsid w:val="002B196E"/>
    <w:rsid w:val="002C1503"/>
    <w:rsid w:val="002C534D"/>
    <w:rsid w:val="002F237C"/>
    <w:rsid w:val="002F5150"/>
    <w:rsid w:val="002F74F7"/>
    <w:rsid w:val="00305880"/>
    <w:rsid w:val="0033248B"/>
    <w:rsid w:val="00343DB9"/>
    <w:rsid w:val="00345C3F"/>
    <w:rsid w:val="0035287A"/>
    <w:rsid w:val="00365E3D"/>
    <w:rsid w:val="003739DA"/>
    <w:rsid w:val="00387163"/>
    <w:rsid w:val="003D26DE"/>
    <w:rsid w:val="004035E8"/>
    <w:rsid w:val="004209D9"/>
    <w:rsid w:val="00421E1E"/>
    <w:rsid w:val="004273A0"/>
    <w:rsid w:val="004279CA"/>
    <w:rsid w:val="00441ECE"/>
    <w:rsid w:val="00456AE4"/>
    <w:rsid w:val="00473274"/>
    <w:rsid w:val="004924B9"/>
    <w:rsid w:val="004B0F0C"/>
    <w:rsid w:val="004D5EFF"/>
    <w:rsid w:val="004E7D44"/>
    <w:rsid w:val="004F03AE"/>
    <w:rsid w:val="00577B25"/>
    <w:rsid w:val="00584532"/>
    <w:rsid w:val="005B49CC"/>
    <w:rsid w:val="005D49A4"/>
    <w:rsid w:val="005E5916"/>
    <w:rsid w:val="006147E0"/>
    <w:rsid w:val="006174D5"/>
    <w:rsid w:val="00617903"/>
    <w:rsid w:val="00617A95"/>
    <w:rsid w:val="00641902"/>
    <w:rsid w:val="006557D4"/>
    <w:rsid w:val="00660B6A"/>
    <w:rsid w:val="00685652"/>
    <w:rsid w:val="006B436F"/>
    <w:rsid w:val="006B7B0E"/>
    <w:rsid w:val="006B7FD0"/>
    <w:rsid w:val="006F1E03"/>
    <w:rsid w:val="006F6821"/>
    <w:rsid w:val="007061B0"/>
    <w:rsid w:val="00706789"/>
    <w:rsid w:val="00733FAD"/>
    <w:rsid w:val="00752150"/>
    <w:rsid w:val="007722AD"/>
    <w:rsid w:val="00775851"/>
    <w:rsid w:val="00776218"/>
    <w:rsid w:val="00782DB2"/>
    <w:rsid w:val="00796B8A"/>
    <w:rsid w:val="007A47F2"/>
    <w:rsid w:val="007B0B55"/>
    <w:rsid w:val="007B517E"/>
    <w:rsid w:val="007C154B"/>
    <w:rsid w:val="007E0D63"/>
    <w:rsid w:val="007E62BE"/>
    <w:rsid w:val="00835209"/>
    <w:rsid w:val="00841879"/>
    <w:rsid w:val="00851713"/>
    <w:rsid w:val="00851BD2"/>
    <w:rsid w:val="00866DB1"/>
    <w:rsid w:val="008809B9"/>
    <w:rsid w:val="008C214A"/>
    <w:rsid w:val="008D1E90"/>
    <w:rsid w:val="008D6689"/>
    <w:rsid w:val="008F3873"/>
    <w:rsid w:val="0092223C"/>
    <w:rsid w:val="009579A4"/>
    <w:rsid w:val="00975C01"/>
    <w:rsid w:val="009914F3"/>
    <w:rsid w:val="009A13D6"/>
    <w:rsid w:val="009C6C12"/>
    <w:rsid w:val="009C77CE"/>
    <w:rsid w:val="009D4B3B"/>
    <w:rsid w:val="009F7D70"/>
    <w:rsid w:val="00A335E1"/>
    <w:rsid w:val="00A40DBF"/>
    <w:rsid w:val="00A7753C"/>
    <w:rsid w:val="00A84DB8"/>
    <w:rsid w:val="00A869C7"/>
    <w:rsid w:val="00AB1621"/>
    <w:rsid w:val="00AC1328"/>
    <w:rsid w:val="00B056D7"/>
    <w:rsid w:val="00B26828"/>
    <w:rsid w:val="00B40C22"/>
    <w:rsid w:val="00B960AD"/>
    <w:rsid w:val="00BC32CD"/>
    <w:rsid w:val="00C008DA"/>
    <w:rsid w:val="00C422D7"/>
    <w:rsid w:val="00C87A71"/>
    <w:rsid w:val="00C934BD"/>
    <w:rsid w:val="00CB13D6"/>
    <w:rsid w:val="00CC16EA"/>
    <w:rsid w:val="00D47ADA"/>
    <w:rsid w:val="00D542D7"/>
    <w:rsid w:val="00D6187A"/>
    <w:rsid w:val="00D712C0"/>
    <w:rsid w:val="00D82688"/>
    <w:rsid w:val="00D83049"/>
    <w:rsid w:val="00D93D02"/>
    <w:rsid w:val="00DA3EB2"/>
    <w:rsid w:val="00DC1412"/>
    <w:rsid w:val="00DC223D"/>
    <w:rsid w:val="00DC5696"/>
    <w:rsid w:val="00DD4480"/>
    <w:rsid w:val="00E1100B"/>
    <w:rsid w:val="00E21457"/>
    <w:rsid w:val="00E36C1B"/>
    <w:rsid w:val="00E60361"/>
    <w:rsid w:val="00E91086"/>
    <w:rsid w:val="00EB2159"/>
    <w:rsid w:val="00EB3063"/>
    <w:rsid w:val="00EC4874"/>
    <w:rsid w:val="00ED02B7"/>
    <w:rsid w:val="00EF55E1"/>
    <w:rsid w:val="00EF57A5"/>
    <w:rsid w:val="00F00BA3"/>
    <w:rsid w:val="00F23DB5"/>
    <w:rsid w:val="00F2586D"/>
    <w:rsid w:val="00F32A6D"/>
    <w:rsid w:val="00F54075"/>
    <w:rsid w:val="00F55C08"/>
    <w:rsid w:val="00F64B08"/>
    <w:rsid w:val="00F8694C"/>
    <w:rsid w:val="00FC7A3F"/>
    <w:rsid w:val="00FF4325"/>
    <w:rsid w:val="030D46BD"/>
    <w:rsid w:val="0472D6F5"/>
    <w:rsid w:val="05229F18"/>
    <w:rsid w:val="06BE6F79"/>
    <w:rsid w:val="074C813A"/>
    <w:rsid w:val="0E4984F1"/>
    <w:rsid w:val="11006D25"/>
    <w:rsid w:val="18D528CE"/>
    <w:rsid w:val="1A7B65EF"/>
    <w:rsid w:val="1BC7DD0F"/>
    <w:rsid w:val="1E733845"/>
    <w:rsid w:val="23FA54B4"/>
    <w:rsid w:val="25160B28"/>
    <w:rsid w:val="2D39BB8F"/>
    <w:rsid w:val="2E40C97C"/>
    <w:rsid w:val="34C73B69"/>
    <w:rsid w:val="37E362F3"/>
    <w:rsid w:val="3913ED8B"/>
    <w:rsid w:val="401D3B43"/>
    <w:rsid w:val="48D86A22"/>
    <w:rsid w:val="4DD54F3A"/>
    <w:rsid w:val="5F9FF2AE"/>
    <w:rsid w:val="66770ADE"/>
    <w:rsid w:val="683F331C"/>
    <w:rsid w:val="6ED9DE8B"/>
    <w:rsid w:val="74BA3AFE"/>
    <w:rsid w:val="79F07ABB"/>
    <w:rsid w:val="7BB7C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544E"/>
  <w15:chartTrackingRefBased/>
  <w15:docId w15:val="{4C2E18E5-1360-49F0-9E64-C3A0B6B74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3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erm" w:customStyle="1">
    <w:name w:val="term"/>
    <w:basedOn w:val="DefaultParagraphFont"/>
    <w:rsid w:val="00AC1328"/>
  </w:style>
  <w:style w:type="character" w:styleId="Hyperlink">
    <w:name w:val="Hyperlink"/>
    <w:basedOn w:val="DefaultParagraphFont"/>
    <w:uiPriority w:val="99"/>
    <w:unhideWhenUsed/>
    <w:rsid w:val="00032E31"/>
    <w:rPr>
      <w:color w:val="0000FF"/>
      <w:u w:val="single"/>
    </w:rPr>
  </w:style>
  <w:style w:type="paragraph" w:styleId="Revision">
    <w:name w:val="Revision"/>
    <w:hidden/>
    <w:uiPriority w:val="99"/>
    <w:semiHidden/>
    <w:rsid w:val="006174D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268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682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268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82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682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68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6828"/>
  </w:style>
  <w:style w:type="paragraph" w:styleId="Footer">
    <w:name w:val="footer"/>
    <w:basedOn w:val="Normal"/>
    <w:link w:val="FooterChar"/>
    <w:uiPriority w:val="99"/>
    <w:unhideWhenUsed/>
    <w:rsid w:val="00B268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6828"/>
  </w:style>
  <w:style w:type="table" w:styleId="TableGrid">
    <w:name w:val="Table Grid"/>
    <w:basedOn w:val="TableNormal"/>
    <w:uiPriority w:val="39"/>
    <w:rsid w:val="007762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82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8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hyperlink" Target="https://jamanetwork.com/journals/jama/fullarticle/2807333?resultClick=1" TargetMode="External" Id="Re406e06b5d2c4855" /><Relationship Type="http://schemas.openxmlformats.org/officeDocument/2006/relationships/hyperlink" Target="https://clinicaltrials.gov/study/NCT04593940" TargetMode="External" Id="R2322371bf07145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924A462C7B6488987682E16EDB115" ma:contentTypeVersion="9" ma:contentTypeDescription="Create a new document." ma:contentTypeScope="" ma:versionID="a18685945c5ef0414001df1796582dee">
  <xsd:schema xmlns:xsd="http://www.w3.org/2001/XMLSchema" xmlns:xs="http://www.w3.org/2001/XMLSchema" xmlns:p="http://schemas.microsoft.com/office/2006/metadata/properties" xmlns:ns2="d84d13cd-9231-4c38-8013-68a008b213fe" xmlns:ns3="3c0cb45e-7825-4073-9f2c-dbebbbd48759" targetNamespace="http://schemas.microsoft.com/office/2006/metadata/properties" ma:root="true" ma:fieldsID="e36ec3c8b39d04e4aa1b4c501f4e1973" ns2:_="" ns3:_="">
    <xsd:import namespace="d84d13cd-9231-4c38-8013-68a008b213fe"/>
    <xsd:import namespace="3c0cb45e-7825-4073-9f2c-dbebbbd48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d13cd-9231-4c38-8013-68a008b21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cb45e-7825-4073-9f2c-dbebbbd48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F2C7D-6CB0-4955-A2AE-90713E235842}">
  <ds:schemaRefs>
    <ds:schemaRef ds:uri="d84d13cd-9231-4c38-8013-68a008b213fe"/>
    <ds:schemaRef ds:uri="http://schemas.microsoft.com/office/infopath/2007/PartnerControls"/>
    <ds:schemaRef ds:uri="3c0cb45e-7825-4073-9f2c-dbebbbd48759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31DE677-731B-4913-B107-1B500873C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04ECF3-0447-4E28-A292-66DB419223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Duke Health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Eure Roebuck</dc:creator>
  <cp:keywords/>
  <dc:description/>
  <cp:lastModifiedBy>Willhide, Judi</cp:lastModifiedBy>
  <cp:revision>4</cp:revision>
  <dcterms:created xsi:type="dcterms:W3CDTF">2023-04-26T12:57:00Z</dcterms:created>
  <dcterms:modified xsi:type="dcterms:W3CDTF">2023-07-18T13:20:45Z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0x0101000F7924A462C7B6488987682E16EDB115</vt:lpwstr>
  </property>
  <property fmtid="{D5CDD505-2E9C-101B-9397-08002B2CF9AE}" pid="3" name="MediaServiceImageTags">
    <vt:lpwstr/>
  </property>
</Properties>
</file>