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r>
        <w:rPr>
          <w:color w:val="000000"/>
          <w:sz w:val="20"/>
        </w:rPr>
        <w:t>Nota: indicadores extraídos de LinceBI (entorno de pruebas, datapru.uca.es); verificar contra producción (data.uca.es) antes de la aprobación por la CGC. Serie de egresados disponible hasta el curso de egreso 2020-21.</w:t>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GRADO EN INGENIERÍA AEROESPACIAL</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Escuela Superior de Ingeniería</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2502553</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Graduado o Graduada en Ingeniería Aeroespacial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2011-2012</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https://esingenieria.uca.es/docencia/grados/gia/</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05/07/2023</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Sí. 12 ECTS optativos</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sz w:val="20"/>
                <w:szCs w:val="20"/>
                <w:highlight w:val="yellow"/>
              </w:rPr>
              <w:t>xxx</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proofErr w:type="spellStart"/>
            <w:r>
              <w:rPr>
                <w:rFonts w:asciiTheme="minorHAnsi" w:hAnsiTheme="minorHAnsi" w:cstheme="minorHAnsi"/>
                <w:sz w:val="20"/>
                <w:szCs w:val="20"/>
                <w:highlight w:val="yellow"/>
              </w:rPr>
              <w:t>Xxx</w:t>
            </w:r>
            <w:proofErr w:type="spellEnd"/>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r>
        <w:rPr>
          <w:color w:val="000000"/>
          <w:sz w:val="20"/>
        </w:rPr>
        <w:t>La información pública del Grado en Ingeniería Aeroespacial se publica de forma completa y actualizada conforme a las directrices de seguimiento de los títulos de ACCUA. La web del título (https://esingenieria.uca.es/docencia/grados/gia/) ofrece acceso a la memoria verificada, el itinerario curricular recomendado, los perfiles del título, el calendario académico, los programas y guías docentes de las asignaturas (impartidas en español conforme a la memoria), los horarios de clase y de exámenes y la información relativa a los Trabajos de Fin de Grado. La accesibilidad de los contenidos se garantiza mediante el tema UCA para WordPress, sometido a revisiones periódicas del Observatorio de Accesibilidad.</w:t>
      </w:r>
    </w:p>
    <w:p>
      <w:r>
        <w:rPr>
          <w:color w:val="000000"/>
          <w:sz w:val="20"/>
        </w:rPr>
        <w:t>Los indicadores de satisfacción del proceso P01, recogidos en el Anexo I, son analizados anualmente por la coordinación del título:</w:t>
      </w:r>
    </w:p>
    <w:p>
      <w:r>
        <w:rPr>
          <w:color w:val="000000"/>
          <w:sz w:val="20"/>
        </w:rPr>
        <w:t>ISGC-P01-01: Grado de satisfacción del alumnado con la información publicada del Título. El indicador se sitúa en 3,45 sobre 5 en el curso 2024-25, valor que, tras el máximo de 3,64 del curso anterior, desciende ligeramente pero se mantiene estable por encima de 3 y por encima de la media del centro (3,37). La estabilidad se explica por los escasos cambios en la web durante este curso.</w:t>
      </w:r>
    </w:p>
    <w:p>
      <w:r>
        <w:rPr>
          <w:color w:val="000000"/>
          <w:sz w:val="20"/>
        </w:rPr>
        <w:t>ISGC-P01-02: Grado de satisfacción del PDI con la información publicada del Título. Alcanza 4,19 sobre 5, un valor alto que, tras el pico de 4,65, desciende hasta situarse en línea con la media del centro (4,29). Refleja que este colectivo encuentra en la web la información que necesita.</w:t>
      </w:r>
    </w:p>
    <w:p>
      <w:r>
        <w:rPr>
          <w:color w:val="000000"/>
          <w:sz w:val="20"/>
        </w:rPr>
        <w:t>ISGC-P01-03: Grado de satisfacción del PTGAS con la información publicada del Centro. Siguiendo la recomendación de ACCUA, se analiza a nivel de centro: arroja 3,64 sobre 5 en el curso actual, manteniéndose estable a lo largo de la serie, lo que indica que este colectivo no hace un uso intensivo de esta información para el desempeño de su trabajo.</w:t>
      </w:r>
    </w:p>
    <w:p>
      <w:r>
        <w:rPr>
          <w:color w:val="000000"/>
          <w:sz w:val="20"/>
        </w:rPr>
        <w:t>En cuanto al apartado 1.3, la web del centro recoge información sobre el SGC institucional, la composición de la CGC y su reglamento; no obstante, y dado que el SGC específico del centro está aún en desarrollo, quedan por publicar los acuerdos (actas) de la comisión, los procedimientos del SGC y el histórico del plan de mejora, carencia que se aborda mediante la acción de mejora AM-ESI-1.1.</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PF-ESI-1.1.- La satisfacción del alumnado (ISGC-P01-01: 3,45 sobre 5) y del PDI (ISGC-P01-02: 4,19 sobre 5) con la información pública disponible se mantiene en valores altos y por encima de la media del centro en el caso del alumnado.</w:t>
              <w:br/>
              <w:t>- PF-ESI-1.2.- La web del título se actualiza de forma continua y se ha avanzado en las subsanaciones y recomendaciones sobre IPD del informe de renovación de ACCUA.</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 1: PD-ESI-1.1.- El SGC específico del centro sigue en desarrollo, por lo que algunos ítems del apartado 1.3 (acuerdos de la CGC, procedimientos y plan de mejora) aún no están publicados en la web.</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 1: AM-ESI-1.1.- Avanzar en el desarrollo del SGC del centro incorporando más procedimientos y dando acceso en la web tanto a los procedimientos como a los acuerdos de la CGC, en el marco del Programa IMPLANTA.</w:t>
            </w:r>
          </w:p>
        </w:tc>
      </w:tr>
      <w:tr w:rsidR="00BB7AF6" w:rsidRPr="00037BD7" w14:paraId="2FC9A680" w14:textId="77777777" w:rsidTr="006E278F">
        <w:trPr>
          <w:jc w:val="center"/>
        </w:trPr>
        <w:tc>
          <w:tcPr>
            <w:tcW w:w="2591" w:type="pct"/>
            <w:tcBorders>
              <w:bottom w:val="single" w:sz="4" w:space="0" w:color="auto"/>
            </w:tcBorders>
            <w:shd w:val="clear" w:color="auto" w:fill="auto"/>
            <w:vAlign w:val="center"/>
          </w:tcPr>
          <w:p w14:paraId="7AACBAF6"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 2: PD-ESI-1.2.- La participación en las encuestas de satisfacción de los grupos de interés sigue siendo baja (ISGC-P07-01_01 alumnado: 17,58%; ISGC-P07-01_02 PDI: 23,38%).</w:t>
            </w:r>
          </w:p>
        </w:tc>
        <w:tc>
          <w:tcPr>
            <w:tcW w:w="2409" w:type="pct"/>
            <w:tcBorders>
              <w:bottom w:val="single" w:sz="4" w:space="0" w:color="auto"/>
            </w:tcBorders>
            <w:shd w:val="clear" w:color="auto" w:fill="auto"/>
            <w:vAlign w:val="center"/>
          </w:tcPr>
          <w:p w14:paraId="4F8D6B5F"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 1: AM-ESI-1.2.- Analizar y desplegar acciones para conseguir una mayor participación de los grupos de interés en las encuestas.</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E4A56AF" w14:textId="5AB10D85"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64EC5CCD" w14:textId="7613417D"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r>
        <w:rPr>
          <w:color w:val="000000"/>
          <w:sz w:val="20"/>
        </w:rPr>
        <w:t>El SGC de la UCA (versión 3, aprobada por Consejo de Gobierno el 28 de junio de 2021 y revisada en enero de 2023) enmarca la garantía de calidad del título. Este apartado obtuvo la catalogación de “Se alcanza parcialmente” en el informe de renovación de la acreditación de ACCUA de 5 de julio de 2023; las recomendaciones y las acciones de respuesta se recogen en la tabla del final de este apartado y se arrastran hasta que la agencia las dé por cerradas.</w:t>
      </w:r>
    </w:p>
    <w:p>
      <w:r>
        <w:rPr>
          <w:color w:val="000000"/>
          <w:sz w:val="20"/>
        </w:rPr>
        <w:t>El responsable del SGC en el centro es el Director o persona en quien delegue, auxiliado por la Comisión de Garantía de Calidad (CGC), integrada por profesorado, PTGAS, estudiantes y representantes de sectores externos [PENDIENTE: composición nominal actual de la CGC y fechas de las actas del curso 2024-25]. La gestión documental se articula a través de la web del título, el Sistema de Información de la UCA (LinceBI) y el espacio institucional del centro (repositorio Colabora/UCADRIVE: Biblioteca de Documentos &gt; Actas Definitivas).</w:t>
      </w:r>
    </w:p>
    <w:p>
      <w:r>
        <w:rPr>
          <w:color w:val="000000"/>
          <w:sz w:val="20"/>
        </w:rPr>
        <w:t>El P03 define la sistemática de diseño, seguimiento, mejora y, en su caso, extinción del título, conforme al Reglamento UCA/CG03/2020. El Plan de Mejora se construye a partir de los puntos débiles detectados y de las recomendaciones de ACCUA. Desde la web del título es accesible el Buzón de Atención al Usuario (BAU): durante este curso las reclamaciones (ISGC-P07-11) representan el 1,36% y las incidencias docentes (ISGC-P07-12) el 1,36% respecto al número de usuarios, valores contenidos. Como punto débil persiste la ausencia de un cuadro de mandos propio y la falta de publicación del histórico del plan de mejora, en tanto se completa el SGC del centro en el marco del Programa IMPLANTA.</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PF-ESI-2.1.- La Comisión de Garantía de Calidad (CGC) se reúne asiduamente, lo que permite un seguimiento continuo y efectivo de los posibles problemas del título.</w:t>
              <w:br/>
              <w:t>- PF-ESI-2.2.- El centro dispone de la herramienta Buzón de Atención al Usuario (BAU), ventanilla única para consultas, quejas, reclamaciones, felicitaciones y sugerencias de todos los grupos de interés.</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PD-ESI-2.1.- El centro no tiene desarrollado al completo su Sistema de Garantía de Calidad específico, aunque se enmarca en el de la Universidad de Cádiz.</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AM-ESI-2.1.- Desarrollar un SGC específico del Centro; la ESI se encuentra inmersa en su desarrollo con objeto de solicitar la acreditación Institucional a través del Programa IMPLANTA.</w:t>
            </w:r>
          </w:p>
        </w:tc>
      </w:tr>
      <w:tr w:rsidR="00BB7AF6" w:rsidRPr="00EA51D0" w14:paraId="109965E6" w14:textId="77777777" w:rsidTr="00D82372">
        <w:trPr>
          <w:jc w:val="center"/>
        </w:trPr>
        <w:tc>
          <w:tcPr>
            <w:tcW w:w="2722" w:type="pct"/>
            <w:tcBorders>
              <w:bottom w:val="single" w:sz="4" w:space="0" w:color="auto"/>
            </w:tcBorders>
            <w:shd w:val="clear" w:color="auto" w:fill="auto"/>
            <w:vAlign w:val="center"/>
          </w:tcPr>
          <w:p w14:paraId="74AAE42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PD-ESI-2.2.- No se dispone aún de medidas efectivas para la recogida sistemática de datos de satisfacción del grupo de interés empleadores.</w:t>
            </w:r>
          </w:p>
        </w:tc>
        <w:tc>
          <w:tcPr>
            <w:tcW w:w="2278" w:type="pct"/>
            <w:tcBorders>
              <w:bottom w:val="single" w:sz="4" w:space="0" w:color="auto"/>
            </w:tcBorders>
            <w:shd w:val="clear" w:color="auto" w:fill="auto"/>
            <w:vAlign w:val="center"/>
          </w:tcPr>
          <w:p w14:paraId="5AFF58F9"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AM-ESI-2.2.- Conforme al apartado C del P07, facilitar la participación de los empleadores en las Comisiones que el Centro estime conveniente, al menos una vez al año, y realizar las primeras mediciones de satisfacción.</w:t>
            </w:r>
          </w:p>
        </w:tc>
      </w:tr>
      <w:tr>
        <w:tc>
          <w:tcPr>
            <w:tcW w:type="dxa" w:w="5442"/>
          </w:tcPr>
          <w:p>
            <w:r>
              <w:t>Punto débil nº 3: PD-ESI-2.3.- No están publicados en la web los históricos del Plan de Mejora ni existe un calendario de revisiones periódicas que permita saber si los objetivos se han cumplido.</w:t>
            </w:r>
          </w:p>
        </w:tc>
        <w:tc>
          <w:tcPr>
            <w:tcW w:type="dxa" w:w="4554"/>
          </w:tcPr>
          <w:p>
            <w:r>
              <w:t>Acción de mejora nº 1: AM-ESI-2.3.- Avanzar en el desarrollo del SGC del centro dando acceso en la web a los procedimientos, al histórico del Plan de Mejora y a los acuerdos de la CGC.</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5 de julio de 2023</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Recomendación 1: Se debe publicar una descripción del perfil básico del profesorado.</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En la web del título se ha incluido el enlace a un documento PDF que recoge la descripción de los perfiles básicos del profesorado, en el ítem correspondiente del apartado sobre “Desarrollo operativo del programa”. Se considera resuelta.</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Recomendación 2: Se deben introducir mecanismos para que la página web cuente con mecanismos de accesibilidad para personas con diversidad funcional.</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Se han mantenido reuniones con los responsables y gestores de la web para concretar los mecanismos sobre los que actuar. Los sitios UCA implementan el tema UCA para WordPress, sometido a revisiones periódicas de accesibilidad conforme al Observatorio de Accesibilidad.</w:t>
            </w:r>
          </w:p>
        </w:tc>
      </w:tr>
      <w:tr>
        <w:tc>
          <w:tcPr>
            <w:tcW w:type="dxa" w:w="1354"/>
          </w:tcPr>
          <w:p>
            <w:r/>
          </w:p>
        </w:tc>
        <w:tc>
          <w:tcPr>
            <w:tcW w:type="dxa" w:w="4122"/>
          </w:tcPr>
          <w:p>
            <w:r>
              <w:t>Recomendación 3: Se deben incorporar a la Información Pública Disponible datos de satisfacción de profesores y empleadores y mejorar las prospectivas a egresados.</w:t>
            </w:r>
          </w:p>
        </w:tc>
        <w:tc>
          <w:tcPr>
            <w:tcW w:type="dxa" w:w="4520"/>
          </w:tcPr>
          <w:p>
            <w:r>
              <w:t>En la ruta enlazada de la web del título se ha incluido lo solicitado en cuanto a satisfacción del PDI. La recogida sistemática de satisfacción de empleadores sigue pendiente de implantación (P07).</w:t>
            </w:r>
          </w:p>
        </w:tc>
      </w:tr>
      <w:tr>
        <w:tc>
          <w:tcPr>
            <w:tcW w:type="dxa" w:w="1354"/>
          </w:tcPr>
          <w:p>
            <w:r/>
          </w:p>
        </w:tc>
        <w:tc>
          <w:tcPr>
            <w:tcW w:type="dxa" w:w="4122"/>
          </w:tcPr>
          <w:p>
            <w:r>
              <w:t>Recomendación 4: Se recomienda mejorar el acceso a la información a través de la web de la UCA haciéndolo más intuitivo.</w:t>
            </w:r>
          </w:p>
        </w:tc>
        <w:tc>
          <w:tcPr>
            <w:tcW w:type="dxa" w:w="4520"/>
          </w:tcPr>
          <w:p>
            <w:r>
              <w:t>La página web del título fue renovada y se sigue trabajando en su mejora continua atendiendo las peticiones de los distintos informes.</w:t>
            </w:r>
          </w:p>
        </w:tc>
      </w:tr>
      <w:tr>
        <w:tc>
          <w:tcPr>
            <w:tcW w:type="dxa" w:w="1354"/>
          </w:tcPr>
          <w:p>
            <w:r/>
          </w:p>
        </w:tc>
        <w:tc>
          <w:tcPr>
            <w:tcW w:type="dxa" w:w="4122"/>
          </w:tcPr>
          <w:p>
            <w:r>
              <w:t>Recomendación 5: Se deben poner en marcha acciones para implantar, de manera efectiva, procedimientos para la realización de prospectivas y recogida de datos sistemática de empleadores (y aumentar las de egresados) y para tener en cuenta su opinión en la gestión y garantía de calidad del título.</w:t>
            </w:r>
          </w:p>
        </w:tc>
        <w:tc>
          <w:tcPr>
            <w:tcW w:type="dxa" w:w="4520"/>
          </w:tcPr>
          <w:p>
            <w:r>
              <w:t>El P07 “Proceso de medición de resultados” prevé que el Centro facilite la participación de los empleadores en las Comisiones que estime conveniente, al menos una vez al año. Se está trabajando en la realización de las primeras mediciones.</w:t>
            </w:r>
          </w:p>
        </w:tc>
      </w:tr>
      <w:tr>
        <w:tc>
          <w:tcPr>
            <w:tcW w:type="dxa" w:w="1354"/>
          </w:tcPr>
          <w:p>
            <w:r/>
          </w:p>
        </w:tc>
        <w:tc>
          <w:tcPr>
            <w:tcW w:type="dxa" w:w="4122"/>
          </w:tcPr>
          <w:p>
            <w:r>
              <w:t>Recomendación 6: Se recomienda seguir con las acciones para aportar más información del grado de satisfacción de los usuarios, atendiendo las recomendaciones del proceso de Acreditación anterior.</w:t>
            </w:r>
          </w:p>
        </w:tc>
        <w:tc>
          <w:tcPr>
            <w:tcW w:type="dxa" w:w="4520"/>
          </w:tcPr>
          <w:p>
            <w:r>
              <w:t>Se fomenta la participación en las encuestas de los grupos de interés a través de la web de la ESI, TAVIRA-ESI, el Campus Virtual de la coordinación y las redes sociales.</w:t>
            </w:r>
          </w:p>
        </w:tc>
      </w:tr>
      <w:tr>
        <w:tc>
          <w:tcPr>
            <w:tcW w:type="dxa" w:w="1354"/>
          </w:tcPr>
          <w:p>
            <w:r/>
          </w:p>
        </w:tc>
        <w:tc>
          <w:tcPr>
            <w:tcW w:type="dxa" w:w="4122"/>
          </w:tcPr>
          <w:p>
            <w:r>
              <w:t>Recomendación 7: Se deben establecer procedimientos formales de coordinación del título y disponer de actas y acuerdos de las reuniones; asimismo, implementar nuevas acciones de mejora de la coordinación docente a la vista de la valoración del estudiantado.</w:t>
            </w:r>
          </w:p>
        </w:tc>
        <w:tc>
          <w:tcPr>
            <w:tcW w:type="dxa" w:w="4520"/>
          </w:tcPr>
          <w:p>
            <w:r>
              <w:t>Se están realizando reuniones de coordinación horizontal y vertical con los profesores responsables de las asignaturas por curso. Se propone la creación de un curso en el Campus Virtual con todos los coordinadores de asignatura.</w:t>
            </w:r>
          </w:p>
        </w:tc>
      </w:tr>
      <w:tr>
        <w:tc>
          <w:tcPr>
            <w:tcW w:type="dxa" w:w="1354"/>
          </w:tcPr>
          <w:p>
            <w:r/>
          </w:p>
        </w:tc>
        <w:tc>
          <w:tcPr>
            <w:tcW w:type="dxa" w:w="4122"/>
          </w:tcPr>
          <w:p>
            <w:r>
              <w:t>Recomendación 8: Se recomienda seguir potenciando la participación del profesorado en acciones formativas y proyectos de innovación y actividades de mejora docente.</w:t>
            </w:r>
          </w:p>
        </w:tc>
        <w:tc>
          <w:tcPr>
            <w:tcW w:type="dxa" w:w="4520"/>
          </w:tcPr>
          <w:p>
            <w:r>
              <w:t>Se fomenta la participación del profesorado en actividades formativas y de evaluación de la calidad docente en las reuniones de coordinación y mediante la difusión de cursos de interés.</w:t>
            </w:r>
          </w:p>
        </w:tc>
      </w:tr>
      <w:tr>
        <w:tc>
          <w:tcPr>
            <w:tcW w:type="dxa" w:w="1354"/>
          </w:tcPr>
          <w:p>
            <w:r/>
          </w:p>
        </w:tc>
        <w:tc>
          <w:tcPr>
            <w:tcW w:type="dxa" w:w="4122"/>
          </w:tcPr>
          <w:p>
            <w:r>
              <w:t>Recomendación 9: Se recomienda seguir con acciones para potenciar y favorecer el aumento del número de doctores y la dedicación a la investigación del profesorado, de manera que alcancen mayor número de sexenios.</w:t>
            </w:r>
          </w:p>
        </w:tc>
        <w:tc>
          <w:tcPr>
            <w:tcW w:type="dxa" w:w="4520"/>
          </w:tcPr>
          <w:p>
            <w:r>
              <w:t>Los sexenios acumulados por el profesorado del título han aumentado en los últimos cursos, por lo que se continúa con las acciones de potenciación del número de doctores y su dedicación investigadora.</w:t>
            </w:r>
          </w:p>
        </w:tc>
      </w:tr>
      <w:tr>
        <w:tc>
          <w:tcPr>
            <w:tcW w:type="dxa" w:w="1354"/>
          </w:tcPr>
          <w:p>
            <w:r/>
          </w:p>
        </w:tc>
        <w:tc>
          <w:tcPr>
            <w:tcW w:type="dxa" w:w="4122"/>
          </w:tcPr>
          <w:p>
            <w:r>
              <w:t>Recomendación 10: Se deben poner en marcha acciones para incrementar las tasas de movilidad, casi inexistente, y mejorar la satisfacción de los estudiantes con la movilidad.</w:t>
            </w:r>
          </w:p>
        </w:tc>
        <w:tc>
          <w:tcPr>
            <w:tcW w:type="dxa" w:w="4520"/>
          </w:tcPr>
          <w:p>
            <w:r>
              <w:t>Se fomentan reuniones de estudiantes con el coordinador de movilidad del centro y jornadas informativas de destinos y programas de beca.</w:t>
            </w:r>
          </w:p>
        </w:tc>
      </w:tr>
      <w:tr>
        <w:tc>
          <w:tcPr>
            <w:tcW w:type="dxa" w:w="1354"/>
          </w:tcPr>
          <w:p>
            <w:r/>
          </w:p>
        </w:tc>
        <w:tc>
          <w:tcPr>
            <w:tcW w:type="dxa" w:w="4122"/>
          </w:tcPr>
          <w:p>
            <w:r>
              <w:t>Recomendación 11: Se debe seguir con acciones de mejora eficaces para aumentar la tasa de rendimiento del Trabajo Fin de Grado.</w:t>
            </w:r>
          </w:p>
        </w:tc>
        <w:tc>
          <w:tcPr>
            <w:tcW w:type="dxa" w:w="4520"/>
          </w:tcPr>
          <w:p>
            <w:r>
              <w:t>La aplicación de gestión de TFG/M ha permitido una mejora en la tasa de rendimiento del TFG y la agilización de los trámites.</w:t>
            </w:r>
          </w:p>
        </w:tc>
      </w:tr>
      <w:tr>
        <w:tc>
          <w:tcPr>
            <w:tcW w:type="dxa" w:w="1354"/>
          </w:tcPr>
          <w:p>
            <w:r/>
          </w:p>
        </w:tc>
        <w:tc>
          <w:tcPr>
            <w:tcW w:type="dxa" w:w="4122"/>
          </w:tcPr>
          <w:p>
            <w:r>
              <w:t>Recomendación 12: Se deben poner en marcha acciones para reducir la duración media del estudio, adecuándola a la memoria, y evitar que la tasa de graduación se sitúe por debajo del valor de la memoria.</w:t>
            </w:r>
          </w:p>
        </w:tc>
        <w:tc>
          <w:tcPr>
            <w:tcW w:type="dxa" w:w="4520"/>
          </w:tcPr>
          <w:p>
            <w:r>
              <w:t>Se realizan charlas informativas para concienciar a los estudiantes de terminar la carrera antes de comenzar a trabajar.</w:t>
            </w:r>
          </w:p>
        </w:tc>
      </w:tr>
      <w:tr>
        <w:tc>
          <w:tcPr>
            <w:tcW w:type="dxa" w:w="1354"/>
          </w:tcPr>
          <w:p>
            <w:r/>
          </w:p>
        </w:tc>
        <w:tc>
          <w:tcPr>
            <w:tcW w:type="dxa" w:w="4122"/>
          </w:tcPr>
          <w:p>
            <w:r>
              <w:t>Recomendación 13: Se deben implantar procedimientos institucionalizados de contacto, seguimiento de la actividad laboral y toma de opinión de empleadores y egresados para la mejora continua de los programas formativos.</w:t>
            </w:r>
          </w:p>
        </w:tc>
        <w:tc>
          <w:tcPr>
            <w:tcW w:type="dxa" w:w="4520"/>
          </w:tcPr>
          <w:p>
            <w:r>
              <w:t>Conforme al apartado C del P07, el Centro facilitará la participación de empleadores en las Comisiones que estime conveniente, al menos una vez al año, para el análisis y la mejora del título. Se está trabajando en las primeras mediciones.</w:t>
            </w:r>
          </w:p>
        </w:tc>
      </w:tr>
      <w:tr>
        <w:tc>
          <w:tcPr>
            <w:tcW w:type="dxa" w:w="1354"/>
          </w:tcPr>
          <w:p>
            <w:r/>
          </w:p>
        </w:tc>
        <w:tc>
          <w:tcPr>
            <w:tcW w:type="dxa" w:w="4122"/>
          </w:tcPr>
          <w:p>
            <w:r>
              <w:t>Recomendación 14: Se recomienda tomar en consideración las sugerencias de los egresados sobre optatividad y menciones indicadas en el informe.</w:t>
            </w:r>
          </w:p>
        </w:tc>
        <w:tc>
          <w:tcPr>
            <w:tcW w:type="dxa" w:w="4520"/>
          </w:tcPr>
          <w:p>
            <w:r>
              <w:t>Desde la Dirección del centro se están celebrando reuniones para la mejora del título en cuanto a catálogo de optativas y estructura del mismo.</w:t>
            </w:r>
          </w:p>
        </w:tc>
      </w:tr>
      <w:tr>
        <w:tc>
          <w:tcPr>
            <w:tcW w:type="dxa" w:w="1354"/>
          </w:tcPr>
          <w:p>
            <w:r/>
          </w:p>
        </w:tc>
        <w:tc>
          <w:tcPr>
            <w:tcW w:type="dxa" w:w="4122"/>
          </w:tcPr>
          <w:p>
            <w:r>
              <w:t>Recomendación 15: Se recomienda poner en marcha acciones para mejorar el grado de satisfacción del alumnado con los programas y actividades de apoyo y orientación académica y profesional y para que hagan uso de los recursos a su disposición.</w:t>
            </w:r>
          </w:p>
        </w:tc>
        <w:tc>
          <w:tcPr>
            <w:tcW w:type="dxa" w:w="4520"/>
          </w:tcPr>
          <w:p>
            <w:r>
              <w:t>Se trabaja en mejorar la visibilidad de las actividades de orientación académica y profesional entre el alumnado.</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r>
        <w:rPr>
          <w:color w:val="000000"/>
          <w:sz w:val="20"/>
        </w:rPr>
        <w:t>3.1. El programa formativo se ha desarrollado adecuadamente durante el curso 2024-25. Todos los cursos, de primero a cuarto, se han impartido conforme a la memoria verificada, sin que se haya efectuado ninguna modificación del título en este curso. En la web del título están disponibles el cronograma de implantación, los autoinformes anuales, la planificación de la docencia (grupos, horarios y exámenes) y las guías docentes (todas las asignaturas se imparten en español). Las incidencias del curso se han tratado en la CGC, cuyas actas se publican en el repositorio institucional (Colabora: ESI-Comisión de Garantía de Calidad &gt; Biblioteca de Documentos &gt; Actas Definitivas).</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sidRPr="00EA51D0">
        <w:rPr>
          <w:rFonts w:cs="Calibri"/>
          <w:sz w:val="20"/>
          <w:szCs w:val="20"/>
        </w:rPr>
        <w:t xml:space="preserve">Las modalidades de impartición del título se corresponden con la memoria verificada </w:t>
      </w:r>
    </w:p>
    <w:p>
      <w:r>
        <w:rPr>
          <w:color w:val="000000"/>
          <w:sz w:val="20"/>
        </w:rPr>
        <w:t>3.2. La modalidad de enseñanza sigue siendo presencial, tal y como se indica en la memoria verificada. No procede la coordinación entre modalidades.</w:t>
      </w:r>
    </w:p>
    <w:p w14:paraId="4C9B6328" w14:textId="77777777" w:rsidR="000D730B" w:rsidRPr="00EA51D0" w:rsidRDefault="000D730B" w:rsidP="000D730B">
      <w:pPr>
        <w:spacing w:after="0" w:line="240" w:lineRule="auto"/>
        <w:jc w:val="both"/>
        <w:rPr>
          <w:rFonts w:cs="Calibri"/>
          <w:sz w:val="20"/>
          <w:szCs w:val="20"/>
        </w:rPr>
      </w:pPr>
    </w:p>
    <w:p w14:paraId="0037E208" w14:textId="77777777" w:rsidR="000D730B" w:rsidRPr="00EA51D0" w:rsidRDefault="000D730B" w:rsidP="000D730B">
      <w:pPr>
        <w:spacing w:after="0" w:line="240" w:lineRule="auto"/>
        <w:ind w:left="360"/>
        <w:jc w:val="both"/>
        <w:rPr>
          <w:rFonts w:cs="Calibri"/>
          <w:color w:val="00B0F0"/>
          <w:sz w:val="20"/>
          <w:szCs w:val="20"/>
        </w:rPr>
      </w:pPr>
      <w:r w:rsidRPr="00EA51D0">
        <w:rPr>
          <w:rFonts w:cs="Calibri"/>
          <w:sz w:val="20"/>
          <w:szCs w:val="20"/>
        </w:rPr>
        <w:t>el título se imparte en varias modalidades de enseñanza, y posee coordinación docente entre las diferentes modalidades al objeto de que la adquisición de competencias y los resultados de aprendizaje sean homogéneos en todas las modalidades implicadas.</w:t>
      </w: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r>
        <w:rPr>
          <w:color w:val="000000"/>
          <w:sz w:val="20"/>
        </w:rPr>
        <w:t>3.3. Toda la normativa UCA relacionada con el programa formativo está enlazada en la web del título: reconocimiento y transferencia de créditos (Reglamento UCA/CG12/2010 y su modificación, BOUCA nº 283), régimen de permanencia (aprobado el 7 de mayo de 2020, modificado el 29 de junio de 2021) y el Reglamento general de TFG/M del centro. Las solicitudes de reconocimiento se tramitan mediante el CAU dirigido a la Secretaría de Campus de Puerto Real y se resuelven en la CGC, quedando registradas en actas. [PENDIENTE: nº de estudiantes y créditos reconocidos en el curso 2024-25 (Informe de créditos reconocidos de LinceBI)].</w:t>
      </w:r>
    </w:p>
    <w:p>
      <w:r>
        <w:rPr>
          <w:color w:val="000000"/>
          <w:sz w:val="20"/>
        </w:rPr>
        <w:t>La gestión de los TFG se realiza mediante una aplicación propia (tfgm.uca.es), con convocatorias de defensa mensuales dada la alta demanda. No se requieren complementos de formación en este título.</w:t>
      </w:r>
    </w:p>
    <w:p>
      <w:r>
        <w:rPr>
          <w:color w:val="000000"/>
          <w:sz w:val="20"/>
        </w:rPr>
        <w:t>ISGC-P04-11: Grado de satisfacción del alumnado con el proceso de elección y realización del TFG. Se sitúa en 2,48 sobre 5 en el curso 2024-25, tras el máximo de 3,03 del curso anterior. Este descenso, recogido en el Anexo I, se relaciona más con la dificultad para conseguir tutor que con la gestión en sí, y motiva la acción de mejora AM-ESI-4.2.</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r>
        <w:rPr>
          <w:color w:val="000000"/>
          <w:sz w:val="20"/>
        </w:rPr>
        <w:t>3.4. El perfil de ingreso y los criterios de admisión, conformes a la memoria, están disponibles en la web del título; el acceso está centralizado en el Distrito Único Andaluz (DUA), sin pruebas específicas. La oferta es de 70 plazas de nuevo ingreso, coincidente con la memoria. La nota de corte del título continúa siendo de las más elevadas de la Escuela Superior de Ingeniería. La matrícula de nuevo ingreso se ajusta a las 70 plazas ofertadas en la memoria: la serie 2020-21 a 2024-25 registra 73, 74, 76, 75 y 71 estudiantes, de modo que en 2024-25 el nuevo ingreso (71) cubre y ajusta las plazas ofertadas conforme a lo previsto. El perfil de ingreso procede mayoritariamente de la Prueba de Acceso a la Universidad (PAU: 64 estudiantes), completándose con titulados universitarios (1) y otros accesos (6), sin ingreso por FP2 ni por las vías de mayores de 25, 40 o 45 años. La demanda en primera opción se mantiene en valores moderados a lo largo de la serie (20,32%, 18,00%, 19,14%, 19,04% y 17,64%), con un leve descenso en 2024-25, si bien el 50% del alumnado accede en primera preferencia. La nota de corte muestra una tendencia sostenida al alza (11,176, 11,571, 11,367, 12,168 y 12,274), con una nota de acceso media de 12,735 en 2024-25 (ISGC-P04-16 a P04-19, Anexo I).</w:t>
      </w:r>
    </w:p>
    <w:p>
      <w:r>
        <w:rPr>
          <w:color w:val="000000"/>
          <w:sz w:val="20"/>
        </w:rPr>
        <w:t>ISGC-P07-02: Grado de satisfacción global del alumnado con el título. Alcanza 3,68 sobre 5 en 2024-25, con una tendencia de crecimiento sostenido a lo largo de la serie (3,42 | 3,59 | 3,50 | 3,66 | 3,68), lo que se valora positivamente.</w:t>
      </w:r>
    </w:p>
    <w:p>
      <w:r>
        <w:rPr>
          <w:color w:val="000000"/>
          <w:sz w:val="20"/>
        </w:rPr>
        <w:t>ISGC-P07-03: Grado de satisfacción global del PDI con el título. Se sitúa en 3,89 sobre 5, con un ligero descenso respecto al curso anterior (4,06), si bien el valor promedio de la serie se mantiene próximo a 4.</w:t>
      </w:r>
    </w:p>
    <w:p>
      <w:r>
        <w:rPr>
          <w:color w:val="000000"/>
          <w:sz w:val="20"/>
        </w:rPr>
        <w:t>Los indicadores de acceso del P06 confirman el atractivo del título: la tasa de adecuación (ISGC-P04-16) se mantiene estable; la tasa de ocupación (ISGC-P04-17) supera el 100%, cubriendo todas las plazas ofertadas; la tasa de preferencia (ISGC-P04-18) es de las más altas de la UCA; y la tasa de renovación/nuevo ingreso (ISGC-P04-19) mantiene el equilibrio entre el alumnado que ingresa y el que abandona o se traslada.</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r>
        <w:rPr>
          <w:color w:val="000000"/>
          <w:sz w:val="20"/>
        </w:rPr>
        <w:t>3.5. La coordinación se articula a través del coordinador/a del grado y de los coordinadores/as de asignatura, reforzada por la figura del Vocal de Grado (un estudiante que actúa de intermediario), por una herramienta on-line de gestión de incidencias docentes y por los medios de comunicación del Campus Virtual. Los horarios y fechas de examen se acuerdan con los grupos de interés y cualquier cambio posterior se analiza en la CGC.</w:t>
      </w:r>
    </w:p>
    <w:p>
      <w:r>
        <w:rPr>
          <w:color w:val="000000"/>
          <w:sz w:val="20"/>
        </w:rPr>
        <w:t>ISGC-P04-10: Grado de satisfacción del alumnado con la coordinación docente. Se sitúa en 2,75 sobre 5 en 2024-25, tras el máximo de 3,24 del curso anterior. Este descenso motiva mantener las acciones de mejora sobre coordinación (AM-ESI-3.1 y AM-ESI-3.2). Persiste como punto débil la ausencia de procedimientos formales de coordinación y de actas.</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r>
        <w:rPr>
          <w:color w:val="000000"/>
          <w:sz w:val="20"/>
        </w:rPr>
        <w:t>3.6. El título presenta una estructura curricular específica consistente en 12 ECTS optativos, conforme a la memoria verificada. No se trata de un título impartido en más de un centro, ni conjunto o interuniversitario, ni doble grado, ni con mención dual, ni con itinerario académico abierto, por lo que el resto de supuestos no procede.</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2B73209D" w14:textId="0EEBE9B9" w:rsidR="005D691F" w:rsidRPr="00EA51D0" w:rsidRDefault="005D691F" w:rsidP="005D691F">
      <w:p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Dobles títulos: </w:t>
      </w:r>
    </w:p>
    <w:p w14:paraId="3D98E210" w14:textId="732084F9"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normativa específica aprobada por la Universidad que regula las dobles titulaciones es el Reglamento UCA/CG03/2020, de 18 de febrero, para la creación, modificación, suspensión, extinción y gestión de títulos oficiales en la Universidad de Cádiz, que dedica su Título III a </w:t>
      </w:r>
      <w:r w:rsidR="00CD7A9C" w:rsidRPr="00EA51D0">
        <w:rPr>
          <w:rFonts w:asciiTheme="minorHAnsi" w:eastAsia="Times New Roman" w:hAnsiTheme="minorHAnsi" w:cstheme="minorHAnsi"/>
          <w:i/>
          <w:color w:val="000000"/>
          <w:sz w:val="20"/>
          <w:szCs w:val="20"/>
          <w:lang w:eastAsia="es-ES"/>
        </w:rPr>
        <w:t>la PROPUESTA</w:t>
      </w:r>
      <w:r w:rsidRPr="00EA51D0">
        <w:rPr>
          <w:rFonts w:asciiTheme="minorHAnsi" w:eastAsia="Times New Roman" w:hAnsiTheme="minorHAnsi" w:cstheme="minorHAnsi"/>
          <w:i/>
          <w:color w:val="000000"/>
          <w:sz w:val="20"/>
          <w:szCs w:val="20"/>
          <w:lang w:eastAsia="es-ES"/>
        </w:rPr>
        <w:t>, APROBACIÓN Y MODIFICACIÓN DE MEMORIAS PARA LA COMPATIBILIZACIÓN DE PLANES DE ESTUDIO PARA LA OBTENCIÓN DE DOS TÍTULOS DE GRADO.</w:t>
      </w:r>
    </w:p>
    <w:p w14:paraId="6E6414EC" w14:textId="77777777"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Las titulaciones que están implicadas y las asignaturas de estas (Incluir enlace a documento </w:t>
      </w:r>
      <w:proofErr w:type="spellStart"/>
      <w:r w:rsidRPr="00EA51D0">
        <w:rPr>
          <w:rFonts w:asciiTheme="minorHAnsi" w:eastAsia="Times New Roman" w:hAnsiTheme="minorHAnsi" w:cstheme="minorHAnsi"/>
          <w:i/>
          <w:color w:val="000000"/>
          <w:sz w:val="20"/>
          <w:szCs w:val="20"/>
          <w:lang w:eastAsia="es-ES"/>
        </w:rPr>
        <w:t>pdf</w:t>
      </w:r>
      <w:proofErr w:type="spellEnd"/>
      <w:r w:rsidRPr="00EA51D0">
        <w:rPr>
          <w:rFonts w:asciiTheme="minorHAnsi" w:eastAsia="Times New Roman" w:hAnsiTheme="minorHAnsi" w:cstheme="minorHAnsi"/>
          <w:i/>
          <w:color w:val="000000"/>
          <w:sz w:val="20"/>
          <w:szCs w:val="20"/>
          <w:lang w:eastAsia="es-ES"/>
        </w:rPr>
        <w:t>)</w:t>
      </w:r>
    </w:p>
    <w:p w14:paraId="430D5996" w14:textId="3E61BF1D"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Propuesta formativa diseñada que se oferta, acorde con lo propuesto en el </w:t>
      </w:r>
      <w:hyperlink r:id="rId33" w:history="1">
        <w:r w:rsidRPr="00EA51D0">
          <w:rPr>
            <w:rFonts w:asciiTheme="minorHAnsi" w:eastAsia="Times New Roman" w:hAnsiTheme="minorHAnsi" w:cstheme="minorHAnsi"/>
            <w:color w:val="000000"/>
            <w:sz w:val="20"/>
            <w:szCs w:val="20"/>
            <w:lang w:eastAsia="es-ES"/>
          </w:rPr>
          <w:t>art. 24 del RD (22/20219</w:t>
        </w:r>
      </w:hyperlink>
      <w:r w:rsidRPr="00EA51D0">
        <w:rPr>
          <w:rFonts w:asciiTheme="minorHAnsi" w:eastAsia="Times New Roman" w:hAnsiTheme="minorHAnsi" w:cstheme="minorHAnsi"/>
          <w:i/>
          <w:color w:val="000000"/>
          <w:sz w:val="20"/>
          <w:szCs w:val="20"/>
          <w:lang w:eastAsia="es-ES"/>
        </w:rPr>
        <w:t>)]</w:t>
      </w:r>
    </w:p>
    <w:p w14:paraId="54E75317" w14:textId="77777777" w:rsidR="005D691F" w:rsidRPr="00EA51D0" w:rsidRDefault="005D691F" w:rsidP="005D691F">
      <w:pPr>
        <w:autoSpaceDE w:val="0"/>
        <w:autoSpaceDN w:val="0"/>
        <w:adjustRightInd w:val="0"/>
        <w:spacing w:after="0" w:line="240" w:lineRule="auto"/>
        <w:jc w:val="both"/>
        <w:rPr>
          <w:rFonts w:ascii="Source Sans Pro" w:hAnsi="Source Sans Pro"/>
          <w:b/>
          <w:sz w:val="21"/>
          <w:szCs w:val="21"/>
        </w:rPr>
      </w:pPr>
    </w:p>
    <w:p w14:paraId="3DFBC332" w14:textId="005AB3B9" w:rsidR="008076C8" w:rsidRPr="00EA51D0" w:rsidRDefault="005D691F" w:rsidP="00F2355C">
      <w:pPr>
        <w:spacing w:after="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Títulos conjuntos o interuniversitarios:</w:t>
      </w:r>
    </w:p>
    <w:p w14:paraId="32AD82D2" w14:textId="77777777" w:rsidR="005D691F" w:rsidRPr="00EA51D0" w:rsidRDefault="005D691F" w:rsidP="00F2355C">
      <w:pPr>
        <w:spacing w:after="0"/>
        <w:rPr>
          <w:rFonts w:asciiTheme="minorHAnsi" w:eastAsia="Times New Roman" w:hAnsiTheme="minorHAnsi" w:cstheme="minorHAnsi"/>
          <w:i/>
          <w:color w:val="000000"/>
          <w:sz w:val="20"/>
          <w:szCs w:val="20"/>
          <w:lang w:eastAsia="es-ES"/>
        </w:rPr>
      </w:pPr>
    </w:p>
    <w:p w14:paraId="54066DB6" w14:textId="77777777" w:rsidR="00347EC9" w:rsidRPr="00EA51D0" w:rsidRDefault="00347EC9"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protocolo de coordinación está previsto en el P03 del SGC:</w:t>
      </w:r>
    </w:p>
    <w:p w14:paraId="6C8D3093" w14:textId="73169FA7" w:rsidR="005D691F" w:rsidRPr="00EA51D0" w:rsidRDefault="005D691F" w:rsidP="007716CD">
      <w:pPr>
        <w:pStyle w:val="Prrafodelista"/>
        <w:numPr>
          <w:ilvl w:val="1"/>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coordinación de los títulos de Grado y títulos de Máster interuniversitarios, y de aquellas colaboraciones previstas en la memoria de verificación, será responsabilidad de la Coordinación del título en la UCA para lo que se fijará un mínimo de una reunión anual. Estas reuniones se llevarán a cabo dejando constancia del orden del día y de los acuerdos adoptados y, en ellas se tratarán las actividades que sean necesarias desarrollar para asegurar la adecuada coordinación del título. En dichas reuniones se pondrán en común los datos de seguimiento del programa, así como las medidas a adoptar para su mejora. </w:t>
      </w:r>
      <w:r w:rsidR="00CD7A9C" w:rsidRPr="00EA51D0">
        <w:rPr>
          <w:rFonts w:asciiTheme="minorHAnsi" w:eastAsia="Times New Roman" w:hAnsiTheme="minorHAnsi" w:cstheme="minorHAnsi"/>
          <w:i/>
          <w:color w:val="000000"/>
          <w:sz w:val="20"/>
          <w:szCs w:val="20"/>
          <w:lang w:eastAsia="es-ES"/>
        </w:rPr>
        <w:t>Asimismo,</w:t>
      </w:r>
      <w:r w:rsidRPr="00EA51D0">
        <w:rPr>
          <w:rFonts w:asciiTheme="minorHAnsi" w:eastAsia="Times New Roman" w:hAnsiTheme="minorHAnsi" w:cstheme="minorHAnsi"/>
          <w:i/>
          <w:color w:val="000000"/>
          <w:sz w:val="20"/>
          <w:szCs w:val="20"/>
          <w:lang w:eastAsia="es-ES"/>
        </w:rPr>
        <w:t xml:space="preserve"> se analizarán las cuestiones fundamentales para la coordinación del programa en las universidades participantes y los puntos fuertes y débiles serán puestos de manifiesto en el plan anual de mejoras del título. La Coordinación en la UCA velará por que la información aportada sea completa y actualizada en las páginas web de todas las universidades participantes en el programa, así como que se vaya realizando el análisis adecuado para el seguimiento del programa, memoria y sistema de garantía en la parte correspondiente a cada una de dichas universidades. El Servicio de Gestión de la Calidad de la</w:t>
      </w:r>
      <w:r w:rsidR="00347EC9" w:rsidRPr="00EA51D0">
        <w:rPr>
          <w:rFonts w:asciiTheme="minorHAnsi" w:eastAsia="Times New Roman" w:hAnsiTheme="minorHAnsi" w:cstheme="minorHAnsi"/>
          <w:i/>
          <w:color w:val="000000"/>
          <w:sz w:val="20"/>
          <w:szCs w:val="20"/>
          <w:lang w:eastAsia="es-ES"/>
        </w:rPr>
        <w:t xml:space="preserve"> Universidad de Cádiz solicita</w:t>
      </w:r>
      <w:r w:rsidRPr="00EA51D0">
        <w:rPr>
          <w:rFonts w:asciiTheme="minorHAnsi" w:eastAsia="Times New Roman" w:hAnsiTheme="minorHAnsi" w:cstheme="minorHAnsi"/>
          <w:i/>
          <w:color w:val="000000"/>
          <w:sz w:val="20"/>
          <w:szCs w:val="20"/>
          <w:lang w:eastAsia="es-ES"/>
        </w:rPr>
        <w:t xml:space="preserve"> anualmente a los Servicios de Calidad del resto de universidades participantes los datos de los indicadores de sus títulos interuniversitarios, para poder analizar los datos suministrados que evidencien la calidad del título ofrecido.</w:t>
      </w:r>
    </w:p>
    <w:p w14:paraId="1FECBED6" w14:textId="77777777" w:rsidR="00347EC9" w:rsidRPr="00EA51D0" w:rsidRDefault="00347EC9" w:rsidP="00347EC9">
      <w:pPr>
        <w:spacing w:after="0"/>
        <w:jc w:val="both"/>
        <w:rPr>
          <w:rFonts w:asciiTheme="minorHAnsi" w:eastAsia="Times New Roman" w:hAnsiTheme="minorHAnsi" w:cstheme="minorHAnsi"/>
          <w:i/>
          <w:color w:val="000000"/>
          <w:sz w:val="20"/>
          <w:szCs w:val="20"/>
          <w:lang w:eastAsia="es-ES"/>
        </w:rPr>
      </w:pPr>
    </w:p>
    <w:p w14:paraId="2E60B665" w14:textId="77777777" w:rsidR="005D3ACE" w:rsidRPr="00EA51D0" w:rsidRDefault="005D3ACE" w:rsidP="00347EC9">
      <w:pPr>
        <w:spacing w:after="0"/>
        <w:jc w:val="both"/>
        <w:rPr>
          <w:rFonts w:asciiTheme="minorHAnsi" w:eastAsia="Times New Roman" w:hAnsiTheme="minorHAnsi" w:cstheme="minorHAnsi"/>
          <w:i/>
          <w:color w:val="FF0000"/>
          <w:sz w:val="20"/>
          <w:szCs w:val="20"/>
          <w:lang w:eastAsia="es-ES"/>
        </w:rPr>
      </w:pPr>
    </w:p>
    <w:p w14:paraId="4F421210" w14:textId="16E1D0BD" w:rsidR="005D3ACE" w:rsidRPr="00EA51D0" w:rsidRDefault="005D3ACE" w:rsidP="00347EC9">
      <w:pPr>
        <w:spacing w:after="0"/>
        <w:jc w:val="both"/>
        <w:rPr>
          <w:rFonts w:asciiTheme="minorHAnsi" w:eastAsia="Times New Roman" w:hAnsiTheme="minorHAnsi" w:cstheme="minorHAnsi"/>
          <w:i/>
          <w:sz w:val="20"/>
          <w:szCs w:val="20"/>
          <w:lang w:eastAsia="es-ES"/>
        </w:rPr>
      </w:pPr>
      <w:r w:rsidRPr="00EA51D0">
        <w:rPr>
          <w:rFonts w:asciiTheme="minorHAnsi" w:eastAsia="Times New Roman" w:hAnsiTheme="minorHAnsi" w:cstheme="minorHAnsi"/>
          <w:i/>
          <w:sz w:val="20"/>
          <w:szCs w:val="20"/>
          <w:lang w:eastAsia="es-ES"/>
        </w:rPr>
        <w:t xml:space="preserve">Títulos que se imparten en más de un </w:t>
      </w:r>
      <w:r w:rsidR="00C6358C" w:rsidRPr="00EA51D0">
        <w:rPr>
          <w:rFonts w:asciiTheme="minorHAnsi" w:eastAsia="Times New Roman" w:hAnsiTheme="minorHAnsi" w:cstheme="minorHAnsi"/>
          <w:i/>
          <w:sz w:val="20"/>
          <w:szCs w:val="20"/>
          <w:lang w:eastAsia="es-ES"/>
        </w:rPr>
        <w:t>c</w:t>
      </w:r>
      <w:r w:rsidRPr="00EA51D0">
        <w:rPr>
          <w:rFonts w:asciiTheme="minorHAnsi" w:eastAsia="Times New Roman" w:hAnsiTheme="minorHAnsi" w:cstheme="minorHAnsi"/>
          <w:i/>
          <w:sz w:val="20"/>
          <w:szCs w:val="20"/>
          <w:lang w:eastAsia="es-ES"/>
        </w:rPr>
        <w:t>entro:</w:t>
      </w:r>
    </w:p>
    <w:p w14:paraId="7E3065C2"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0C067EF1"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7F38F474" w14:textId="4381564F" w:rsidR="005D3ACE" w:rsidRPr="00EA51D0" w:rsidRDefault="00606EFF"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Vicerrector</w:t>
      </w:r>
      <w:r w:rsidR="005D3ACE" w:rsidRPr="00EA51D0">
        <w:rPr>
          <w:rFonts w:asciiTheme="minorHAnsi" w:eastAsia="Times New Roman" w:hAnsiTheme="minorHAnsi" w:cstheme="minorHAnsi"/>
          <w:i/>
          <w:color w:val="000000"/>
          <w:sz w:val="20"/>
          <w:szCs w:val="20"/>
          <w:lang w:eastAsia="es-ES"/>
        </w:rPr>
        <w:t xml:space="preserve"> de </w:t>
      </w:r>
      <w:r w:rsidR="00A16FD4" w:rsidRPr="00EA51D0">
        <w:rPr>
          <w:rFonts w:asciiTheme="minorHAnsi" w:eastAsia="Times New Roman" w:hAnsiTheme="minorHAnsi" w:cstheme="minorHAnsi"/>
          <w:i/>
          <w:color w:val="000000"/>
          <w:sz w:val="20"/>
          <w:szCs w:val="20"/>
          <w:lang w:eastAsia="es-ES"/>
        </w:rPr>
        <w:t>Títulos y Calidad</w:t>
      </w:r>
      <w:r w:rsidR="005D3ACE" w:rsidRPr="00EA51D0">
        <w:rPr>
          <w:rFonts w:asciiTheme="minorHAnsi" w:eastAsia="Times New Roman" w:hAnsiTheme="minorHAnsi" w:cstheme="minorHAnsi"/>
          <w:i/>
          <w:color w:val="000000"/>
          <w:sz w:val="20"/>
          <w:szCs w:val="20"/>
          <w:lang w:eastAsia="es-ES"/>
        </w:rPr>
        <w:t>, que l</w:t>
      </w:r>
      <w:r w:rsidR="00A16FD4" w:rsidRPr="00EA51D0">
        <w:rPr>
          <w:rFonts w:asciiTheme="minorHAnsi" w:eastAsia="Times New Roman" w:hAnsiTheme="minorHAnsi" w:cstheme="minorHAnsi"/>
          <w:i/>
          <w:color w:val="000000"/>
          <w:sz w:val="20"/>
          <w:szCs w:val="20"/>
          <w:lang w:eastAsia="es-ES"/>
        </w:rPr>
        <w:t>o</w:t>
      </w:r>
      <w:r w:rsidR="005D3ACE" w:rsidRPr="00EA51D0">
        <w:rPr>
          <w:rFonts w:asciiTheme="minorHAnsi" w:eastAsia="Times New Roman" w:hAnsiTheme="minorHAnsi" w:cstheme="minorHAnsi"/>
          <w:i/>
          <w:color w:val="000000"/>
          <w:sz w:val="20"/>
          <w:szCs w:val="20"/>
          <w:lang w:eastAsia="es-ES"/>
        </w:rPr>
        <w:t xml:space="preserve"> coordina</w:t>
      </w:r>
    </w:p>
    <w:p w14:paraId="5521530C" w14:textId="77777777" w:rsidR="000A6DF3" w:rsidRPr="00EA51D0" w:rsidRDefault="000A6DF3" w:rsidP="005D3ACE">
      <w:pPr>
        <w:spacing w:after="0"/>
        <w:jc w:val="both"/>
        <w:rPr>
          <w:rFonts w:asciiTheme="minorHAnsi" w:eastAsia="Times New Roman" w:hAnsiTheme="minorHAnsi" w:cstheme="minorHAnsi"/>
          <w:i/>
          <w:color w:val="FF0000"/>
          <w:sz w:val="20"/>
          <w:szCs w:val="20"/>
          <w:lang w:eastAsia="es-ES"/>
        </w:rPr>
      </w:pPr>
    </w:p>
    <w:p w14:paraId="2182ECD4" w14:textId="77777777" w:rsidR="005D691F" w:rsidRPr="00EA51D0" w:rsidRDefault="005D691F" w:rsidP="00347EC9">
      <w:pPr>
        <w:spacing w:after="0"/>
        <w:jc w:val="both"/>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PF-ESI-3.1.- La ESI cuenta con la figura del Vocal de Grado, que refuerza con un nivel más la coordinación docente.</w:t>
              <w:br/>
              <w:t>- PF-ESI-3.2.- La ESI cuenta con un sistema de gestión on-line de incidencias docentes que permite realizar modificaciones puntuales en el horario.</w:t>
              <w:br/>
              <w:t>- PF-ESI-3.3.- Cada asignatura del título dispone de medios de comunicación en el Campus Virtual para gestionar incidencias docentes sobrevenidas.</w:t>
              <w:br/>
              <w:t>- PF-ESI-3.4.- La ESI cuenta con una aplicación para la gestión de los TFG, conforme a la normativa, a través de la cual todos los grupos de interés realizan sus gestiones.</w:t>
              <w:br/>
              <w:t>- PF-ESI-3.5.- La ESI realiza convocatorias de defensa de TFG/M mensualmente para cubrir la alta demanda debida al elevado número de matriculados.</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PD-ESI-3.1.- No existen procedimientos formales de coordinación del título ni se dispone de actas de las reuniones de coordinación.</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AM-ESI-3.1.- Crear un curso en el Campus Virtual con todos los profesores coordinadores de asignatura para establecer recomendaciones de funcionamiento y organización de las asignaturas y recabar sugerencias del profesorado, dejando constancia documental.</w:t>
            </w:r>
          </w:p>
        </w:tc>
      </w:tr>
      <w:tr w:rsidR="00BB7AF6" w:rsidRPr="00037BD7" w14:paraId="4149A7CB" w14:textId="77777777" w:rsidTr="00D82372">
        <w:trPr>
          <w:jc w:val="center"/>
        </w:trPr>
        <w:tc>
          <w:tcPr>
            <w:tcW w:w="2722" w:type="pct"/>
            <w:tcBorders>
              <w:bottom w:val="single" w:sz="4" w:space="0" w:color="auto"/>
            </w:tcBorders>
            <w:shd w:val="clear" w:color="auto" w:fill="auto"/>
            <w:vAlign w:val="center"/>
          </w:tcPr>
          <w:p w14:paraId="1A1C4F5F"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PD-ESI-3.2.- La satisfacción del alumnado con la coordinación docente (ISGC-P04-10) ha descendido este curso hasta 2,75 sobre 5.</w:t>
            </w:r>
          </w:p>
        </w:tc>
        <w:tc>
          <w:tcPr>
            <w:tcW w:w="2278" w:type="pct"/>
            <w:tcBorders>
              <w:bottom w:val="single" w:sz="4" w:space="0" w:color="auto"/>
            </w:tcBorders>
            <w:shd w:val="clear" w:color="auto" w:fill="auto"/>
            <w:vAlign w:val="center"/>
          </w:tcPr>
          <w:p w14:paraId="4B1DA0D1"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AM-ESI-3.2.- Analizar las causas del descenso y reforzar las acciones de coordinación horizontal y vertical.</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r>
        <w:rPr>
          <w:color w:val="000000"/>
          <w:sz w:val="20"/>
        </w:rPr>
        <w:t>4.1. El personal académico del título se corresponde con el previsto en la memoria y aporta la experiencia docente e investigadora idónea. Se integra en departamentos como Ciencia de los Materiales e Ingeniería Metalúrgica y Química Inorgánica, Matemáticas, Estadística e Investigación Operativa, Física Aplicada, Ingeniería Mecánica y Diseño Industrial, Ingeniería Eléctrica, Ingeniería en Automática, Electrónica, Arquitectura y Redes de Computadores, Ingeniería Informática, Máquinas y Motores Térmicos y Organización de Empresas, entre otros. El Vicerrectorado de Profesorado determina anualmente la capacidad de cada área mediante los POD, apoyándose en la aplicación GOA. La tabla de profesorado (Anexo II) se actualiza y publica cada año. El porcentaje de doctores y los quinquenios y sexenios acumulados mantienen una tendencia de mejora sostenida. En el curso 2024-25 el título cuenta con 74 profesores, de los que el 77,03% son doctores, máximo de la serie (66,67%, 70,42%, 69,57%, 71,43% y 77,03%). Los quinquenios docentes acumulados han crecido de 89 a 149 y los sexenios de investigación de 38 a 71 a lo largo del periodo, evidenciando una experiencia docente e investigadora en aumento. La plantilla se consolida: la estructura por categoría en 2024-25 incluye 4 Catedráticos de Universidad, 29 Profesores Titulares de Universidad (frente a los 9 de 2020-21), 4 Titulares de Escuela Universitaria, 5 Contratados Doctores, 1 Colaborador, 7 Ayudantes Doctores, 5 Asociados y 19 sustitutos, interinos y otros, con una dedicación al título de 534,97 créditos (en torno al 42%). Esta evolución da respuesta a la Recomendación ACCUA nº 9 (aumentar el número de doctores y de sexenios), que puede considerarse en vías de resolución. Los datos se detallan en el Anexo II (ISGC-P05-01).</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w:t>
      </w:r>
      <w:r w:rsidR="00AC4EFC" w:rsidRPr="00EA51D0">
        <w:rPr>
          <w:rFonts w:ascii="Calibri" w:hAnsi="Calibri" w:cs="Calibri"/>
          <w:color w:val="auto"/>
          <w:sz w:val="20"/>
          <w:szCs w:val="20"/>
        </w:rPr>
        <w:t xml:space="preserve">  </w:t>
      </w:r>
      <w:r w:rsidRPr="00EA51D0">
        <w:rPr>
          <w:rFonts w:ascii="Calibri" w:hAnsi="Calibri" w:cs="Calibri"/>
          <w:color w:val="auto"/>
          <w:sz w:val="20"/>
          <w:szCs w:val="20"/>
        </w:rPr>
        <w:t xml:space="preserve">1) </w:t>
      </w:r>
      <w:r w:rsidR="00C21A98" w:rsidRPr="00EA51D0">
        <w:rPr>
          <w:rFonts w:ascii="Calibri" w:hAnsi="Calibri" w:cs="Calibri"/>
          <w:color w:val="auto"/>
          <w:sz w:val="20"/>
          <w:szCs w:val="20"/>
        </w:rPr>
        <w:t>Tabla Personal para</w:t>
      </w:r>
      <w:r w:rsidRPr="00EA51D0">
        <w:rPr>
          <w:rFonts w:ascii="Calibri" w:hAnsi="Calibri" w:cs="Calibri"/>
          <w:color w:val="auto"/>
          <w:sz w:val="20"/>
          <w:szCs w:val="20"/>
        </w:rPr>
        <w:t xml:space="preserve"> impartir el título (último año impartido).</w:t>
      </w:r>
      <w:r w:rsidR="00C21A98" w:rsidRPr="00EA51D0">
        <w:rPr>
          <w:rFonts w:ascii="Calibri" w:hAnsi="Calibri" w:cs="Calibri"/>
          <w:color w:val="auto"/>
          <w:sz w:val="20"/>
          <w:szCs w:val="20"/>
        </w:rPr>
        <w:t xml:space="preserve"> </w:t>
      </w:r>
      <w:r w:rsidR="00177270" w:rsidRPr="00EA51D0">
        <w:rPr>
          <w:rFonts w:ascii="Calibri" w:hAnsi="Calibri" w:cs="Calibri"/>
          <w:color w:val="auto"/>
          <w:sz w:val="20"/>
          <w:szCs w:val="20"/>
        </w:rPr>
        <w:t xml:space="preserve"> </w:t>
      </w:r>
      <w:hyperlink r:id="rId35" w:history="1">
        <w:r w:rsidR="00177270" w:rsidRPr="00EA51D0">
          <w:rPr>
            <w:rStyle w:val="Hipervnculo"/>
            <w:rFonts w:ascii="Calibri" w:hAnsi="Calibri" w:cs="Calibri"/>
            <w:i/>
            <w:sz w:val="20"/>
            <w:szCs w:val="20"/>
          </w:rPr>
          <w:t>https://data.uca.es/lincebi</w:t>
        </w:r>
      </w:hyperlink>
      <w:r w:rsidR="00177270" w:rsidRPr="00EA51D0">
        <w:rPr>
          <w:rFonts w:ascii="Calibri" w:hAnsi="Calibri" w:cs="Calibri"/>
          <w:i/>
          <w:sz w:val="20"/>
          <w:szCs w:val="20"/>
        </w:rPr>
        <w:t xml:space="preserve"> - </w:t>
      </w:r>
      <w:proofErr w:type="spellStart"/>
      <w:proofErr w:type="spellEnd"/>
      <w:r w:rsidR="00177270" w:rsidRPr="00EA51D0">
        <w:rPr>
          <w:rFonts w:ascii="Calibri" w:hAnsi="Calibri" w:cs="Calibri"/>
          <w:sz w:val="20"/>
          <w:szCs w:val="20"/>
        </w:rPr>
        <w:t xml:space="preserve"> </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r>
        <w:rPr>
          <w:color w:val="000000"/>
          <w:sz w:val="20"/>
        </w:rPr>
        <w:t>4.2. La tabla del Anexo II evidencia que el profesorado imparte un porcentaje de horas docentes adecuado, con un desglose grupal apropiado a cada asignatura que evita una atomización excesiva. El número de horas dedicadas a cada asignatura es acorde a los créditos establecidos en la memoria del título, por lo que se considera que la dotación y la dedicación del profesorado son suficientes para el número de estudiantes.</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lastRenderedPageBreak/>
        <w:t xml:space="preserve">ANEXO II:  1) Tabla Personal para impartir el título (último año impartido).  </w:t>
      </w:r>
      <w:hyperlink r:id="rId37" w:history="1">
        <w:r w:rsidRPr="00EA51D0">
          <w:rPr>
            <w:rStyle w:val="Hipervnculo"/>
            <w:rFonts w:ascii="Calibri" w:hAnsi="Calibri" w:cs="Calibri"/>
            <w:i/>
            <w:sz w:val="20"/>
            <w:szCs w:val="20"/>
          </w:rPr>
          <w:t>https://data.uca.es/lincebi</w:t>
        </w:r>
      </w:hyperlink>
      <w:r w:rsidRPr="00EA51D0">
        <w:rPr>
          <w:rFonts w:ascii="Calibri" w:hAnsi="Calibri" w:cs="Calibri"/>
          <w:i/>
          <w:sz w:val="20"/>
          <w:szCs w:val="20"/>
        </w:rPr>
        <w:t xml:space="preserve"> - </w:t>
      </w:r>
      <w:proofErr w:type="spellStart"/>
      <w:proofErr w:type="spellEnd"/>
      <w:r w:rsidR="00F862CD">
        <w:rPr>
          <w:rFonts w:ascii="Calibri" w:hAnsi="Calibri" w:cs="Calibri"/>
          <w:sz w:val="20"/>
          <w:szCs w:val="20"/>
        </w:rPr>
        <w:t xml:space="preserve">. </w:t>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r>
        <w:rPr>
          <w:color w:val="000000"/>
          <w:sz w:val="20"/>
        </w:rPr>
        <w:t>4.3. La Unidad de Formación e Innovación Docente ofrece anualmente un catálogo de acciones formativas y convocatorias de innovación (Proyectos de Innovación y Mejora Docente, Actuaciones Avaladas, Ayudas para la Difusión). La actividad docente se evalúa mediante el programa DOCENTIA, certificado por ANECA. Análisis de los indicadores del curso 2024-25 (Anexo I):</w:t>
      </w:r>
    </w:p>
    <w:p>
      <w:r>
        <w:rPr>
          <w:color w:val="000000"/>
          <w:sz w:val="20"/>
        </w:rPr>
        <w:t>ISGC-P05-02: Participación del profesorado en acciones formativas. Desciende hasta el 25,68%, por debajo del objetivo del título (55%) y del valor del curso anterior (40%); sigue una tendencia similar a la del centro (33,33%). Motiva la acción AM-ESI-4.1.</w:t>
      </w:r>
    </w:p>
    <w:p>
      <w:r>
        <w:rPr>
          <w:color w:val="000000"/>
          <w:sz w:val="20"/>
        </w:rPr>
        <w:t>ISGC-P05-03: Participación en proyectos de innovación y mejora docente. Aumenta hasta el 41,89%, por encima del curso anterior (32,86%) aunque todavía por debajo del objetivo de la memoria (50%); se sitúa en línea con el centro (39,22%).</w:t>
      </w:r>
    </w:p>
    <w:p>
      <w:r>
        <w:rPr>
          <w:color w:val="000000"/>
          <w:sz w:val="20"/>
        </w:rPr>
        <w:t>ISGC-P05-05: Profesorado en convocatorias DOCENTIA. Se sitúa en el 22,97%, próximo al objetivo del título (25%) y recuperándose respecto al 11,43% del curso anterior. El carácter opcional del programa y la limitación de plazas explican estos valores.</w:t>
      </w:r>
    </w:p>
    <w:p>
      <w:r>
        <w:rPr>
          <w:color w:val="000000"/>
          <w:sz w:val="20"/>
        </w:rPr>
        <w:t>ISGC-P05-06: Calificaciones “EXCELENTES” en DOCENTIA. Se sitúa en el 52,94%, tras el 87,5% del curso anterior; se considera una fluctuación puntual dentro de una serie históricamente alta (62,50% | 75,00% | 75,00% | 87,50% | 52,94%).</w:t>
      </w:r>
    </w:p>
    <w:p>
      <w:r>
        <w:rPr>
          <w:color w:val="000000"/>
          <w:sz w:val="20"/>
        </w:rPr>
        <w:t>ISGC-P05-07: Calificaciones “FAVORABLE” en DOCENTIA. Asciende al 47,06%, complementario del indicador anterior.</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r>
        <w:rPr>
          <w:color w:val="000000"/>
          <w:sz w:val="20"/>
        </w:rPr>
        <w:t>4.4. Los criterios de asignación de tutor/a y tema del TFG y el perfil del profesorado que lo supervisa se recogen en el Reglamento general de TFG/M de la ESI (v1.3, de 26 de julio de 2022), disponible públicamente en la web, que garantiza la igualdad de oportunidades y el trato homogéneo del estudiantado. La gestión se realiza mediante la aplicación web tfgm.uca.es. La comisión de TFG/M y los departamentos se implican en la asignación de trabajos al alumnado que no lo consigue por sus medios y velan por la idoneidad del perfil del profesorado. El indicador ISGC-P04-11 (satisfacción con el TFG, Anexo I) se sitúa en 2,48 sobre 5, valor a mejorar que motiva la acción AM-ESI-4.2.</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r>
        <w:rPr>
          <w:color w:val="000000"/>
          <w:sz w:val="20"/>
        </w:rPr>
        <w:t>4.5. Las prácticas externas curriculares se desarrollan conforme a la memoria y al Reglamento UCA/CG08/2012 de prácticas externas (art. 16 sobre tutorías y arts. 29-30 sobre derechos y obligaciones del tutor académico), que regula el perfil del profesorado supervisor según su especialización. Las prácticas no curriculares se gestionan mediante ICARO y las curriculares mediante GADES. La Universidad mantiene convenios con empresas del sector aeroespacial (Titania, M&amp;M, Saica, Airbus Operations, Alestis Aerospace, Geci Española, Aviatech &amp; Consulting, Mecanizados y Montajes Aeronáuticos, Aeroavance y Flight Training Europe, entre otras). El Coordinador del título asigna los tutores académicos según la temática de la práctica. El personal tutor se detalla en el Anexo III. [PENDIENTE: nº de estudiantes en prácticas curriculares en el curso 2024-25].</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4F315B" w:rsidRPr="00EA51D0">
        <w:rPr>
          <w:rFonts w:asciiTheme="minorHAnsi" w:hAnsiTheme="minorHAnsi" w:cstheme="minorHAnsi"/>
          <w:i/>
          <w:color w:val="00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r>
        <w:rPr>
          <w:color w:val="000000"/>
          <w:sz w:val="20"/>
        </w:rPr>
        <w:t>4.6. No procede. El título se imparte en modalidad presencial.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r>
        <w:rPr>
          <w:color w:val="000000"/>
          <w:sz w:val="20"/>
        </w:rPr>
        <w:t>4.7. ISGC-P05-04: Satisfacción global del estudiantado con la docencia en el título. Se sitúa en 4,5 sobre 5 en 2024-25, valor muy alto y estable a lo largo de la serie (4,0 | 4,1 | 4,5 | 4,3 | 4,5), y en línea con la media del centro (4,4). Refleja un contento generalizado del alumnado con la docencia recibida. El indicador se recoge en el Anexo I.</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r>
        <w:rPr>
          <w:color w:val="000000"/>
          <w:sz w:val="20"/>
        </w:rPr>
        <w:t>ISGC-P07-03: Grado de satisfacción global del PDI con el título. Obtenido mediante encuesta voluntaria y recogido en el Anexo I, muestra un ligero descenso hasta 3,89 sobre 5, si bien el promedio de la serie se mantiene próximo a 4.</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PF-ESI-4.1.- El porcentaje de doctores y la experiencia docente e investigadora del profesorado (quinquenios y sexenios) mantienen una tendencia de mejora sostenida.</w:t>
              <w:br/>
              <w:t>- PF-ESI-4.2.- La satisfacción global del alumnado con la docencia en el título (ISGC-P05-04) se mantiene alta y estable, en 4,5 sobre 5.</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PD-ESI-4.1.- La participación del profesorado en acciones formativas (ISGC-P05-02: 25,68%) se sitúa por debajo del objetivo del título (55%) y ha descendido respecto al curso anterior.</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AM-ESI-4.1.- Fomentar la participación del profesorado en actividades formativas y proyectos de innovación mediante su difusión en las reuniones de coordinación.</w:t>
            </w:r>
          </w:p>
        </w:tc>
      </w:tr>
      <w:tr w:rsidR="00BB7AF6" w:rsidRPr="00EA51D0" w14:paraId="0D98247A" w14:textId="77777777" w:rsidTr="00D82372">
        <w:trPr>
          <w:jc w:val="center"/>
        </w:trPr>
        <w:tc>
          <w:tcPr>
            <w:tcW w:w="2722" w:type="pct"/>
            <w:tcBorders>
              <w:bottom w:val="single" w:sz="4" w:space="0" w:color="auto"/>
            </w:tcBorders>
            <w:shd w:val="clear" w:color="auto" w:fill="auto"/>
            <w:vAlign w:val="center"/>
          </w:tcPr>
          <w:p w14:paraId="09753D5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PD-ESI-4.2.- La satisfacción del alumnado con el proceso de elección y realización del TFG (ISGC-P04-11: 2,48 sobre 5) ha descendido y se mantiene como valor a mejorar.</w:t>
            </w:r>
          </w:p>
        </w:tc>
        <w:tc>
          <w:tcPr>
            <w:tcW w:w="2278" w:type="pct"/>
            <w:tcBorders>
              <w:bottom w:val="single" w:sz="4" w:space="0" w:color="auto"/>
            </w:tcBorders>
            <w:shd w:val="clear" w:color="auto" w:fill="auto"/>
            <w:vAlign w:val="center"/>
          </w:tcPr>
          <w:p w14:paraId="71BE995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AM-ESI-4.2.- Reforzar las jornadas informativas de TFG y la implicación de comisión y departamentos en la asignación de tutores a los estudiantes que no lo consiguen por sus medios.</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r>
        <w:rPr>
          <w:color w:val="000000"/>
          <w:sz w:val="20"/>
        </w:rPr>
        <w:t>5.1. La adecuación de infraestructuras, servicios y recursos corre a cargo de la Universidad, el centro y los departamentos mediante sus dotaciones presupuestarias. La Escuela Superior de Ingeniería cuenta con dependencias del tamaño adecuado para diversas metodologías docentes, gestionadas mediante la plataforma SIRE, además de zonas de descanso, cafetería y área exterior de esparcimiento, y con cobertura Wifi (ucAirPublica, ucAir y Eduroam). La ESI dispone de biblioteca propia con fondo específico de ingeniería y espacio de aprendizaje. El Campus Virtual (Moodle), gestionado por el Vicerrectorado competente, es utilizado por todas las asignaturas, con un curso virtual del título como medio de comunicación general.</w:t>
      </w:r>
    </w:p>
    <w:p>
      <w:r>
        <w:rPr>
          <w:color w:val="000000"/>
          <w:sz w:val="20"/>
        </w:rPr>
        <w:t>ISGC-P06-03: Satisfacción del alumnado con los recursos materiales e infraestructuras. Se sitúa en 3,37 sobre 5 en 2024-25, con un descenso respecto al curso anterior (3,68) que podría relacionarse con el elevado número de matriculados en relación con la capacidad del centro; motiva la acción AM-ESI-5.2.</w:t>
      </w:r>
    </w:p>
    <w:p>
      <w:r>
        <w:rPr>
          <w:color w:val="000000"/>
          <w:sz w:val="20"/>
        </w:rPr>
        <w:t>ISGC-P06-04: Satisfacción del profesorado con los recursos materiales e infraestructuras. Se sitúa en 4,08 sobre 5, valor alto pese al ligero descenso respecto al curso anterior (4,31), por el mismo motivo de saturación de espacios.</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r>
        <w:rPr>
          <w:color w:val="000000"/>
          <w:sz w:val="20"/>
        </w:rPr>
        <w:t>5.2. La Oficina de Relaciones Internacionales (ORI) gestiona los programas de movilidad; a nivel de centro, la persona responsable de Relaciones Internacionales orienta al estudiantado, organiza jornadas de acogida para entrantes y sesiones informativas para salientes. Las convalidaciones se aprueban en la CGC y quedan registradas en actas. La información se publica en la web del título.</w:t>
      </w:r>
    </w:p>
    <w:p>
      <w:r>
        <w:rPr>
          <w:color w:val="000000"/>
          <w:sz w:val="20"/>
        </w:rPr>
        <w:t>ISGC-P04-09: Porcentaje de alumnado en programas de movilidad. En 2024-25 la movilidad saliente internacional se sitúa en 1,84%, la entrante internacional en 0,69%, la saliente nacional en 0,69% y la entrante nacional en 0,23%. Los valores siguen siendo bajos en comparación con los del centro, lo que constituye el punto débil PD-ESI-5.1.</w:t>
      </w:r>
    </w:p>
    <w:p>
      <w:r>
        <w:rPr>
          <w:color w:val="000000"/>
          <w:sz w:val="20"/>
        </w:rPr>
        <w:t>ISGC-P04-15: Satisfacción del alumnado participante en movilidad. Desciende hasta 2,56 sobre 5, tras el máximo de 3,69 del curso anterior, lo que refuerza la necesidad de mantener la acción de mejora AM-ESI-5.1.</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r>
        <w:rPr>
          <w:color w:val="000000"/>
          <w:sz w:val="20"/>
        </w:rPr>
        <w:t>5.3. La Unidad de Prácticas Externas de la UCA establece y renueva los convenios y realiza la oferta de prácticas; la coordinación del título asigna las plazas según el currículum, la nota media y los créditos superados. La gestión se realiza mediante ICARO (extracurriculares) y GADES (curriculares y extracurriculares de la UCA). Las tablas de convenios y de personal tutor se recogen en el Anexo III.</w:t>
      </w:r>
    </w:p>
    <w:p>
      <w:r>
        <w:rPr>
          <w:color w:val="000000"/>
          <w:sz w:val="20"/>
        </w:rPr>
        <w:t>ISGC-P04-08: Plazas de prácticas externas ofertadas sobre el alumnado que las solicita. Se mantiene estable en 1,15, por encima de la ratio del centro, garantizando plaza a todos los solicitantes.</w:t>
      </w:r>
    </w:p>
    <w:p>
      <w:r>
        <w:rPr>
          <w:color w:val="000000"/>
          <w:sz w:val="20"/>
        </w:rPr>
        <w:t>ISGC-P04-12: Satisfacción de los tutores académicos con las prácticas externas. Alcanza 4,4 sobre 5, por encima del centro (4,33), reflejando su conformidad con la gestión.</w:t>
      </w:r>
    </w:p>
    <w:p>
      <w:r>
        <w:rPr>
          <w:color w:val="000000"/>
          <w:sz w:val="20"/>
        </w:rPr>
        <w:t>ISGC-P04-13: Satisfacción de los tutores de las entidades colaboradoras con el desempeño del alumnado. Asciende a 4,6 sobre 5, muy próximo al valor del centro (4,65), lo que evidencia la buena percepción de las empresas.</w:t>
      </w:r>
    </w:p>
    <w:p>
      <w:r>
        <w:rPr>
          <w:color w:val="000000"/>
          <w:sz w:val="20"/>
        </w:rPr>
        <w:t>ISGC-P04-14: Satisfacción del alumnado con las prácticas externas. Se sitúa en 3,54 sobre 5, tras el máximo de 4,2 del curso anterior; se mantiene por encima del valor del centro y en un rango satisfactorio.</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r>
        <w:rPr>
          <w:color w:val="000000"/>
          <w:sz w:val="20"/>
        </w:rPr>
        <w:t>5.4. El PTGAS no está adscrito a ningún centro ni título. En la ESI desarrollan su labor técnicos de apoyo a las actividades formativas, además del personal de biblioteca, conserjería y administración. Dada la gran cantidad de talleres, laboratorios y equipamiento y el elevado número de usuarios del centro, se considera conveniente que el número de técnicos aumente en futuras convocatorias. Al no adscribirse al centro, la satisfacción del PTGAS se mide a nivel de campus (Puerto Real).</w:t>
      </w:r>
    </w:p>
    <w:p>
      <w:r>
        <w:rPr>
          <w:color w:val="000000"/>
          <w:sz w:val="20"/>
        </w:rPr>
        <w:t>ISGC-P07-04: Satisfacción global del PTGAS con el centro. Se sitúa en 3,79 sobre 5, valor estable a lo largo de la serie, con el que el PTGAS del Campus de Puerto Real valora positivamente el desempeño de sus labores en la ESI. El ISGC-P01-03 (satisfacción del PTGAS con la IPD), analizado a nivel de centro conforme a la recomendación de ACCUA, se sitúa en 3,64 sobre 5.</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r>
        <w:rPr>
          <w:color w:val="000000"/>
          <w:sz w:val="20"/>
        </w:rPr>
        <w:t>5.5. No procede. El título se imparte en modalidad presencial.</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PF-ESI-5.1.- El título cuenta con una infraestructura moderna y el equipamiento necesario para el desarrollo de las actividades formativas.</w:t>
              <w:br/>
              <w:t>- PF-ESI-5.2.- El título cuenta con un Campus Virtual robusto, utilizado en todas las asignaturas.</w:t>
              <w:br/>
              <w:t>- PF-ESI-5.3.- La satisfacción de los tutores académicos (ISGC-P04-12: 4,4) y de las entidades colaboradoras (ISGC-P04-13: 4,6) con las prácticas externas es muy elevada.</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PD-ESI-5.1.- La movilidad del estudiantado en el título sigue siendo muy reducida y la satisfacción con los programas de movilidad (ISGC-P04-15) ha descendido a 2,56 sobre 5.</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AM-ESI-5.1.- Fomentar reuniones de estudiantes con el coordinador de movilidad del centro y difundir los destinos y programas de beca.</w:t>
            </w:r>
          </w:p>
        </w:tc>
      </w:tr>
      <w:tr w:rsidR="00BB7AF6" w:rsidRPr="00037BD7" w14:paraId="313E4FFC" w14:textId="77777777" w:rsidTr="00D82372">
        <w:trPr>
          <w:jc w:val="center"/>
        </w:trPr>
        <w:tc>
          <w:tcPr>
            <w:tcW w:w="2722" w:type="pct"/>
            <w:tcBorders>
              <w:bottom w:val="single" w:sz="4" w:space="0" w:color="auto"/>
            </w:tcBorders>
            <w:shd w:val="clear" w:color="auto" w:fill="auto"/>
            <w:vAlign w:val="center"/>
          </w:tcPr>
          <w:p w14:paraId="6A4A3436"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PD-ESI-5.2.- La satisfacción del alumnado con los recursos materiales e infraestructuras (ISGC-P06-03: 3,37) ha descendido, posiblemente por el elevado número de matriculados en relación con la capacidad del centro.</w:t>
            </w:r>
          </w:p>
        </w:tc>
        <w:tc>
          <w:tcPr>
            <w:tcW w:w="2278" w:type="pct"/>
            <w:tcBorders>
              <w:bottom w:val="single" w:sz="4" w:space="0" w:color="auto"/>
            </w:tcBorders>
            <w:shd w:val="clear" w:color="auto" w:fill="auto"/>
            <w:vAlign w:val="center"/>
          </w:tcPr>
          <w:p w14:paraId="3BC1E92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AM-ESI-5.2.- Trasladar a la Dirección del centro y a la UCA las necesidades de ampliación de espacios y equipamiento acordes al número de estudiantes.</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r>
        <w:rPr>
          <w:color w:val="000000"/>
          <w:sz w:val="20"/>
        </w:rPr>
        <w:t>6.1. La cualificación MECES del título es Nivel 2 (grado). Los resultados de aprendizaje, acordes a este nivel y a la especialidad, se recogen en la memoria verificada y se detallan en los programas docentes públicos de las asignaturas (que incluyen profesorado, resultados de aprendizaje y sistemas de evaluación). El desarrollo del plan de estudios, conforme a la memoria, ha permitido una correcta adquisición de las competencias por parte del estudiantado.</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r>
        <w:rPr>
          <w:color w:val="000000"/>
          <w:sz w:val="20"/>
        </w:rPr>
        <w:t>6.2. Las metodologías docentes, actividades formativas y sistemas de evaluación son adecuados para la consecución de los resultados de aprendizaje de la memoria y quedan recogidos en el programa docente de cada asignatura, revisado cada curso por el profesorado coordinador y objeto de seguimiento por la coordinación del título y la CGC, en el marco del proceso P04. El proceso de elaboración y defensa de los TFG es coherente con la normativa interna (Reglamento de TFG/M de la ESI), con una rúbrica orientativa para su evaluación homogénea y convocatorias mensuales de defensa.</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r>
        <w:rPr>
          <w:color w:val="000000"/>
          <w:sz w:val="20"/>
        </w:rPr>
        <w:t>6.3. Las previsiones globales de la memoria verificada para estos indicadores son: tasa de graduación 20%±5%, tasa de abandono 20%±5%, tasa de eficiencia 65%±5% y tasa de rendimiento 50%±5%. La comparación de los valores del curso 2024-25 (Anexo I) con estos objetivos es la siguiente:</w:t>
      </w:r>
    </w:p>
    <w:p>
      <w:r>
        <w:rPr>
          <w:color w:val="000000"/>
          <w:sz w:val="20"/>
        </w:rPr>
        <w:t>ISGC-P04-01: Tasa de rendimiento. Con un 67,4% se sitúa muy por encima del objetivo de la memoria (50%±5%) y de la media del centro (60,5%), reflejando la implicación del alumnado, si bien desciende levemente respecto al 69,2% del curso anterior.</w:t>
      </w:r>
    </w:p>
    <w:p>
      <w:r>
        <w:rPr>
          <w:color w:val="000000"/>
          <w:sz w:val="20"/>
        </w:rPr>
        <w:t>ISGC-P04-02: Tasa de éxito. Se sitúa en el 79,8%, por encima de los objetivos del título, con leve descenso respecto al 81,9% anterior.</w:t>
      </w:r>
    </w:p>
    <w:p>
      <w:r>
        <w:rPr>
          <w:color w:val="000000"/>
          <w:sz w:val="20"/>
        </w:rPr>
        <w:t>ISGC-P04-03: Tasa de evaluación/presentados. Se mantiene estable en el 84,5%, en línea con la serie.</w:t>
      </w:r>
    </w:p>
    <w:p>
      <w:r>
        <w:rPr>
          <w:color w:val="000000"/>
          <w:sz w:val="20"/>
        </w:rPr>
        <w:t>ISGC-P04-04: Tasa de abandono. Con un 10,4% se mantiene muy por debajo del objetivo de la memoria (20%±5%) y muy por debajo de la del centro (32,4%); mejora respecto al 12,1% del curso anterior. Es un resultado muy favorable.</w:t>
      </w:r>
    </w:p>
    <w:p>
      <w:r>
        <w:rPr>
          <w:color w:val="000000"/>
          <w:sz w:val="20"/>
        </w:rPr>
        <w:t>ISGC-P04-05: Tasa de graduación. Con un 16,4% desciende de forma acusada respecto al 33,3% del curso anterior, situándose en el límite inferior del objetivo de la memoria (20%±5%). Este descenso se relaciona con la alta empleabilidad del título: en muchas ocasiones el estudiante comienza a trabajar antes de finalizar y defender su Trabajo Fin de Grado. Motiva las acciones AM-ESI-6.1 y AM-ESI-6.2.</w:t>
      </w:r>
    </w:p>
    <w:p>
      <w:r>
        <w:rPr>
          <w:color w:val="000000"/>
          <w:sz w:val="20"/>
        </w:rPr>
        <w:t>ISGC-P04-06: Tasa de eficiencia. Con un 73,4% se sitúa muy por encima del objetivo de la memoria (65%±5%), aunque desciende respecto al 77,8% del curso anterior.</w:t>
      </w:r>
    </w:p>
    <w:p>
      <w:r>
        <w:rPr>
          <w:color w:val="000000"/>
          <w:sz w:val="20"/>
        </w:rPr>
        <w:t>ISGC-P04-07: Duración media de los estudios. Aumenta hasta 6,4 años (frente a 5,7 el curso anterior), en coherencia con el descenso de la tasa de graduación y la incorporación temprana al empleo.</w:t>
      </w:r>
    </w:p>
    <w:p>
      <w:r>
        <w:rPr>
          <w:color w:val="000000"/>
          <w:sz w:val="20"/>
        </w:rPr>
        <w:t>Respecto a las calificaciones por asignatura (Anexo IV), la media del porcentaje de suspensos del título se mantiene contenida y las tasas de no presentados son moderadas. La distribución global de calificaciones del plan en 2024-25 es de un 17% de no presentados, 13% de suspensos, 40% de aprobados, 23% de notables, 3% de sobresalientes y 0% de matrículas de honor. Como asignaturas de vigilancia por su elevado porcentaje de suspensos destacan Motores de Aeronaves (37%), Fundamentos de Informática (34%), Física II (32%), Mecánica y Vibraciones (32%), Sistemas de Propulsión Aeroespacial (31%) y Aviónica y Sistemas de Ayuda a la Navegación (30%). Por su elevada tasa de no presentados sobresalen Mecánica del Vuelo (Equipos y Materiales Aeroespaciales) (50%), Proyecto Fin de Grado (48%), Mecánica del Vuelo (Aeronaves) (45%), Mecánica de Fluidos I (42%), Expresión Gráfica y Diseño Asistido (40%) y Aerodinámica y Aeroelasticidad (35%). En el caso del Trabajo Fin de Grado, el 48% de no presentados resulta coherente con la baja tasa de graduación y la alta empleabilidad ya comentadas —el estudiante suele incorporarse al empleo antes de defenderlo—, si bien quienes lo presentan obtienen buenas calificaciones (21% de notables, 11% de sobresalientes y 5% de matrículas de honor). En sentido contrario, se identifican asignaturas de excelencia, con altos porcentajes de notables y sobresalientes: Estrategias de Seguridad y Medioambiente (88% de notables), Tecnologías de Conformado de Materiales Aeroespaciales (84%), Aeronaves (80%), Mantenimiento y Certificación de Vehículos Aeroespaciales (74%), Métodos Numéricos Avanzados (73% de notables y 16% de sobresalientes) y Prácticas Curriculares (67% de sobresalientes). El detalle por asignatura se recoge en el Anexo IV. En conjunto, estos resultados son coherentes con el cumplimiento de los objetivos de la memoria verificada, con tasas de rendimiento y eficiencia por encima de lo previsto, sin perjuicio del seguimiento específico que la coordinación del título mantiene sobre las asignaturas con mayor tasa de suspensos y de no presentados.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proofErr w:type="spellStart"/>
      <w:proofErr w:type="spellEnd"/>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r>
        <w:rPr>
          <w:color w:val="000000"/>
          <w:sz w:val="20"/>
        </w:rPr>
        <w:t>6.4. Los informes de satisfacción del estudiantado con cada asignatura están publicados en el Sistema de Información de la UCA (salvo los informes individualizados del profesorado, de acceso reservado al director del centro conforme al Reglamento UCA/CG09/2022). La satisfacción global del alumnado con el título (ISGC-P07-02: 3,68 sobre 5), ya analizada en el apartado 3.4, crece de forma sostenida, lo que evidencia la conformidad del estudiantado con la planificación y el desarrollo de la enseñanza.</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PF-ESI-6.1.- Las tasas de rendimiento (67,4%), éxito (79,8%) y eficiencia (73,4%) superan ampliamente los valores objetivo de la memoria.</w:t>
              <w:br/>
              <w:t>- PF-ESI-6.2.- La tasa de abandono (10,4%) se mantiene muy por debajo del objetivo de la memoria (20±5%) y muy por debajo de la del centro.</w:t>
              <w:br/>
              <w:t>- PF-ESI-6.3.- Los resultados de aprendizaje alcanzados son acordes al perfil de egreso (MECES nivel 2) y a la memoria verificada.</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PD-ESI-6.1.- La tasa de graduación (ISGC-P04-05) ha descendido de forma acusada hasta el 16,4%, en el límite inferior del objetivo de la memoria (20±5%), fenómeno relacionado con la alta empleabilidad del título.</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AM-ESI-6.1.- Realizar charlas informativas para concienciar al alumnado de finalizar el TFG antes de incorporarse al mercado laboral y analizar las causas del descenso.</w:t>
            </w:r>
          </w:p>
        </w:tc>
      </w:tr>
      <w:tr w:rsidR="00C3162D" w:rsidRPr="00EA51D0" w14:paraId="281DA651" w14:textId="77777777" w:rsidTr="0021618A">
        <w:trPr>
          <w:jc w:val="center"/>
        </w:trPr>
        <w:tc>
          <w:tcPr>
            <w:tcW w:w="2591" w:type="pct"/>
            <w:tcBorders>
              <w:bottom w:val="single" w:sz="4" w:space="0" w:color="auto"/>
            </w:tcBorders>
            <w:shd w:val="clear" w:color="auto" w:fill="auto"/>
            <w:vAlign w:val="center"/>
          </w:tcPr>
          <w:p w14:paraId="1AB0C8E1"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PD-ESI-6.2.- La duración media de los estudios (ISGC-P04-07) ha aumentado hasta 6,4 años.</w:t>
            </w:r>
          </w:p>
        </w:tc>
        <w:tc>
          <w:tcPr>
            <w:tcW w:w="2409" w:type="pct"/>
            <w:tcBorders>
              <w:bottom w:val="single" w:sz="4" w:space="0" w:color="auto"/>
            </w:tcBorders>
            <w:shd w:val="clear" w:color="auto" w:fill="auto"/>
            <w:vAlign w:val="center"/>
          </w:tcPr>
          <w:p w14:paraId="0B1729C6"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AM-ESI-6.2.- Analizar las causas del incremento de la duración media y mantener las acciones de agilización del TFG.</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r>
        <w:rPr>
          <w:color w:val="000000"/>
          <w:sz w:val="20"/>
        </w:rPr>
        <w:t>7.1. La orientación académica comienza con el ingreso en el título. La UCA dispone de la Oficina del Estudiante, la Ventanilla Única del Estudiante, el Servicio de Atención Psicológica y Psicopedagógica (SAP), la Unidad de Igualdad, el servicio de atención a la diversidad e inclusión y la ORI. La ESI añade sus Jornadas de Bienvenida, el Proyecto Acompáñame (tutoría entre iguales con el SAP), información sobre prácticas, actividades científico-técnicas (como el evento COSMOS, Congreso de Aeronáutica y Espacio) y el Laboratorio de Iniciativas Emprendedoras (ESI LAB), en colaboración con la Cátedra de Emprendedores.</w:t>
      </w:r>
    </w:p>
    <w:p>
      <w:r>
        <w:rPr>
          <w:color w:val="000000"/>
          <w:sz w:val="20"/>
        </w:rPr>
        <w:t>ISGC-P06-01: Satisfacción del alumnado con la orientación académica. Se sitúa en 2,94 sobre 5 en 2024-25, con leve descenso respecto al curso anterior (2,98) pero manteniendo la mejora de la serie.</w:t>
      </w:r>
    </w:p>
    <w:p>
      <w:r>
        <w:rPr>
          <w:color w:val="000000"/>
          <w:sz w:val="20"/>
        </w:rPr>
        <w:t>ISGC-P06-02: Satisfacción del alumnado con la orientación profesional. Se sitúa en 2,6 sobre 5, también con ligero descenso respecto al curso anterior (2,71). Ambos valores, mejorables, motivan la acción AM-ESI-7.1 de mejora de la visibilidad de las actividades de orientación.</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r>
        <w:rPr>
          <w:color w:val="000000"/>
          <w:sz w:val="20"/>
        </w:rPr>
        <w:t>7.2. Los indicadores de empleabilidad del proceso P07 se calculan por cohortes de egreso (no por curso académico) y con tasas de participación bajas, por lo que las conclusiones son limitadas. La serie disponible en LinceBI (entorno de pruebas) llega hasta la cohorte de egreso 2020-21. Valores recogidos en el Anexo I:</w:t>
      </w:r>
    </w:p>
    <w:p>
      <w:r>
        <w:rPr>
          <w:color w:val="000000"/>
          <w:sz w:val="20"/>
        </w:rPr>
        <w:t>ISGC-P07-05: Tasa de inserción profesional en cualquier sector. Alcanza el 100% en la cohorte 2020-21 (frente al 83,33% de 2019-20), valor muy alto.</w:t>
      </w:r>
    </w:p>
    <w:p>
      <w:r>
        <w:rPr>
          <w:color w:val="000000"/>
          <w:sz w:val="20"/>
        </w:rPr>
        <w:t>ISGC-P07-06: Tasa efectiva de inserción en un sector relacionado con los estudios. Se sitúa en el 87,5% en la cohorte 2020-21, confirmando que la mayoría se inserta en el sector propio del título.</w:t>
      </w:r>
    </w:p>
    <w:p>
      <w:r>
        <w:rPr>
          <w:color w:val="000000"/>
          <w:sz w:val="20"/>
        </w:rPr>
        <w:t>ISGC-P07-07: Tasa de autoempleo. Se mantiene en el 0% en toda la serie.</w:t>
      </w:r>
    </w:p>
    <w:p>
      <w:r>
        <w:rPr>
          <w:color w:val="000000"/>
          <w:sz w:val="20"/>
        </w:rPr>
        <w:t>ISGC-P07-08: Tasa de inserción con movilidad geográfica. Se sitúa en el 75% en la cohorte 2020-21, resultado razonable dado el reducido número de empresas del sector en la provincia de Cádiz frente a Sevilla o Madrid.</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r>
        <w:rPr>
          <w:color w:val="000000"/>
          <w:sz w:val="20"/>
        </w:rPr>
        <w:t>7.3. El título confiere las atribuciones profesionales del Ingeniero Técnico Aeronáutico (Ley 12/86), que puede ejercer la profesión de forma autónoma. El tejido industrial aeroespacial de la Bahía de Cádiz y sus PYMEs auxiliares, con los que la ESI mantiene convenios, sostienen la vigencia del perfil de egreso. Las salidas profesionales incluyen la redacción y dirección de proyectos, la dirección de fabricación y montaje, la auditoría y peritaje, la consultoría y asesoría técnica, la planificación y gestión de infraestructuras, la ingeniería de pruebas en vuelo, la I+D+i y la docencia, además del acceso a estudios de máster. Los perfiles se consideran actualizados y de interés.</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r>
        <w:rPr>
          <w:color w:val="000000"/>
          <w:sz w:val="20"/>
        </w:rPr>
        <w:t>7.4. [PENDIENTE: satisfacción de empleadores]. Conforme al apartado C del P07, el Centro facilitará la participación de los empleadores en las Comisiones que estime conveniente, al menos una vez al año, para recabar información sobre la satisfacción con las competencias de los egresados. A fecha de este autoinforme el procedimiento no se ha implementado aún y no se han celebrado las reuniones necesarias, por lo que no se dispone de indicadores; constituye el punto débil PD-ESI-7.2 con su acción de mejora AM-ESI-7.2.</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r>
        <w:rPr>
          <w:color w:val="000000"/>
          <w:sz w:val="20"/>
        </w:rPr>
        <w:t>7.5. Los indicadores de satisfacción de egresados del P07 se calculan por cohortes de egreso y con baja participación; la serie disponible llega hasta la cohorte 2020-21. Valores recogidos en el Anexo I:</w:t>
      </w:r>
    </w:p>
    <w:p>
      <w:r>
        <w:rPr>
          <w:color w:val="000000"/>
          <w:sz w:val="20"/>
        </w:rPr>
        <w:t>ISGC-P07-01_03: Tasa de respuesta de la encuesta de egresados. Se sitúa en el 21,05% en la cohorte 2020-21, el valor más alto de la serie, aunque sigue siendo baja para extraer conclusiones sólidas.</w:t>
      </w:r>
    </w:p>
    <w:p>
      <w:r>
        <w:rPr>
          <w:color w:val="000000"/>
          <w:sz w:val="20"/>
        </w:rPr>
        <w:t>ISGC-P07-09: Satisfacción de los egresados con los estudios realizados. Se sitúa en 2,63 sobre 5 en la cohorte 2020-21, en ligero descenso respecto a cohortes anteriores.</w:t>
      </w:r>
    </w:p>
    <w:p>
      <w:r>
        <w:rPr>
          <w:color w:val="000000"/>
          <w:sz w:val="20"/>
        </w:rPr>
        <w:t>ISGC-P07-10: Satisfacción de los egresados con las competencias adquiridas. Se sitúa en 2,75 sobre 5 (único dato disponible, cohorte 2020-21). La baja participación aconseja prudencia en la interpretación.</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r>
        <w:rPr>
          <w:color w:val="000000"/>
          <w:sz w:val="20"/>
        </w:rPr>
        <w:t>7.6. La sostenibilidad del título se analiza de forma transversal a partir de las conclusiones de los criterios anteriores. En cuanto a la demanda (Criterio 3), la tasa de preferencia y la tasa de ocupación del título son de las más altas de la UCA, con una nota de corte líder en el centro, lo que demuestra el interés social por cursarlo. En cuanto al profesorado (Criterio 4), la Universidad cuenta con un procedimiento adecuado de provisión y el porcentaje de doctores, quinquenios y sexenios mejora de forma sostenida, con una satisfacción del alumnado con la docencia muy alta (4,5 sobre 5). En cuanto a los recursos (Criterio 5), el centro dispone de infraestructura moderna, biblioteca propia y un Campus Virtual robusto. En cuanto a los resultados (Criterio 6), las tasas de rendimiento, éxito, eficiencia y abandono superan holgadamente los objetivos de la memoria. Teniendo en cuenta los indicadores del curso analizado y su evolución, consideramos que el título es sostenible.</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PF-ESI-7.1.- El título mantiene una alta tasa de preferencia y de ocupación, lo que demuestra el interés existente en la sociedad por cursarlo.</w:t>
              <w:br/>
              <w:t>- PF-ESI-7.2.- Las tasas de rendimiento, éxito, evaluación y eficiencia superan los valores establecidos en la memoria, por lo que se considera que el título goza de buena salud.</w:t>
              <w:br/>
              <w:t>- PF-ESI-7.3.- La satisfacción global del alumnado con el título (ISGC-P07-02: 3,68 sobre 5) crece de forma sostenida año tras año.</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PD-ESI-7.1.- La satisfacción del alumnado con la orientación profesional (ISGC-P06-02: 2,6 sobre 5) y académica (ISGC-P06-01: 2,94) sigue siendo mejorable.</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AM-ESI-7.1.- Mejorar la visibilidad y difusión de las actividades de orientación académica y profesional entre el alumnado.</w:t>
            </w:r>
          </w:p>
        </w:tc>
      </w:tr>
      <w:tr w:rsidR="00C3162D" w:rsidRPr="00037BD7" w14:paraId="16737BD2" w14:textId="77777777" w:rsidTr="0021618A">
        <w:trPr>
          <w:jc w:val="center"/>
        </w:trPr>
        <w:tc>
          <w:tcPr>
            <w:tcW w:w="2591" w:type="pct"/>
            <w:tcBorders>
              <w:bottom w:val="single" w:sz="4" w:space="0" w:color="auto"/>
            </w:tcBorders>
            <w:shd w:val="clear" w:color="auto" w:fill="auto"/>
            <w:vAlign w:val="center"/>
          </w:tcPr>
          <w:p w14:paraId="38262A5F"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PD-ESI-7.2.- No se dispone todavía de datos de satisfacción de los empleadores con la formación de los egresados.</w:t>
            </w:r>
          </w:p>
        </w:tc>
        <w:tc>
          <w:tcPr>
            <w:tcW w:w="2409" w:type="pct"/>
            <w:tcBorders>
              <w:bottom w:val="single" w:sz="4" w:space="0" w:color="auto"/>
            </w:tcBorders>
            <w:shd w:val="clear" w:color="auto" w:fill="auto"/>
            <w:vAlign w:val="center"/>
          </w:tcPr>
          <w:p w14:paraId="2B34514F"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AM-ESI-7.2.- Implantar el procedimiento de contacto y toma de opinión de empleadores previsto en el P07, celebrando reuniones al menos una vez al año.</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Recomendación ACCUA nº 1 (informe de 5 de julio de 2023): Se debe publicar una descripción del perfil básico del profesorado.</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En la web del título se ha incluido el enlace a un documento PDF que recoge la descripción de los perfiles básicos del profesorado, en el ítem correspondiente del apartado sobre “Desarrollo operativo del programa”. Se considera resuelta.</w:t>
              <w:br/>
              <w:t>Evidencia: Web del título y del centro; actas de la CGC (repositorio institucional); Anexo I de indicadores.</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Media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Subdirección de Estudiantes y Títulos de la ESI</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2025-09-01</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2026-09-01</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ISGC-P01-02: Grado de satisfacción del PDI con la información publicada del Título</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Recomendación ACCUA nº 2 (informe de 5 de julio de 2023): Se deben introducir mecanismos para que la página web cuente con mecanismos de accesibilidad para personas con diversidad funcional.</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Se han mantenido reuniones con los responsables y gestores de la web para concretar los mecanismos sobre los que actuar. Los sitios UCA implementan el tema UCA para WordPress, sometido a revisiones periódicas de accesibilidad conforme al Observatorio de Accesibilidad.</w:t>
              <w:br/>
              <w:t>Evidencia: Web del título y del centro; actas de la CGC (repositorio institucional); Anexo I de indicadores.</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Subdirección de Estudiantes y Títulos de la ESI</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2025-09-01</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2026-09-01</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ISGC-P01-01: Grado de satisfacción del alumnado con la información publicada del Título</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Recomendación ACCUA nº 3 (informe de 5 de julio de 2023): Se deben incorporar a la Información Pública Disponible datos de satisfacción de profesores y empleadores y mejorar las prospectivas a egresados.</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En la ruta enlazada de la web del título se ha incluido lo solicitado en cuanto a satisfacción del PDI. La recogida sistemática de satisfacción de empleadores sigue pendiente de implantación (P07).</w:t>
              <w:br/>
              <w:t>Evidencia: Web del título y del centro; actas de la CGC (repositorio institucional); Anexo I de indicadores.</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Subdirección de Estudiantes y Títulos de la ESI</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2025-09-01</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2026-09-01</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ISGC-P07-03: Grado de satisfacción global del PDI con el título</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Recomendación ACCUA nº 4 (informe de 5 de julio de 2023): Se recomienda mejorar el acceso a la información a través de la web de la UCA haciéndolo más intuitivo.</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La página web del título fue renovada y se sigue trabajando en su mejora continua atendiendo las peticiones de los distintos informes.</w:t>
              <w:br/>
              <w:t>Evidencia: Web del título y del centro; actas de la CGC (repositorio institucional); Anexo I de indicadores.</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Media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Subdirección de Estudiantes y Títulos de la ESI</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2025-09-01</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2026-09-01</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ISGC-P01-01: Grado de satisfacción del alumnado con la información publicada del Título</w:t>
            </w:r>
          </w:p>
        </w:tc>
      </w:tr>
      <w:tr>
        <w:tc>
          <w:tcPr>
            <w:tcW w:type="dxa" w:w="3245"/>
          </w:tcPr>
          <w:p>
            <w:r>
              <w:t>Recomendación ACCUA nº 5 (informe de 5 de julio de 2023): Se deben poner en marcha acciones para implantar, de manera efectiva, procedimientos para la realización de prospectivas y recogida de datos sistemática de empleadores (y aumentar las de egresados) y para tener en cuenta su opinión en la gestión y garantía de calidad del título.</w:t>
            </w:r>
          </w:p>
        </w:tc>
        <w:tc>
          <w:tcPr>
            <w:tcW w:type="dxa" w:w="2546"/>
          </w:tcPr>
          <w:p>
            <w:r>
              <w:t>Acción de mejora: El P07 “Proceso de medición de resultados” prevé que el Centro facilite la participación de los empleadores en las Comisiones que estime conveniente, al menos una vez al año. Se está trabajando en la realización de las primeras mediciones.</w:t>
              <w:br/>
              <w:t>Evidencia: Web del título y del centro; actas de la CGC (repositorio institucional); Anexo I de indicadores.</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ISGC-P07-01_03: Tasa de respuesta de la encuesta. Egresados</w:t>
            </w:r>
          </w:p>
        </w:tc>
      </w:tr>
      <w:tr>
        <w:tc>
          <w:tcPr>
            <w:tcW w:type="dxa" w:w="3245"/>
          </w:tcPr>
          <w:p>
            <w:r>
              <w:t>Recomendación ACCUA nº 6 (informe de 5 de julio de 2023): Se recomienda seguir con las acciones para aportar más información del grado de satisfacción de los usuarios, atendiendo las recomendaciones del proceso de Acreditación anterior.</w:t>
            </w:r>
          </w:p>
        </w:tc>
        <w:tc>
          <w:tcPr>
            <w:tcW w:type="dxa" w:w="2546"/>
          </w:tcPr>
          <w:p>
            <w:r>
              <w:t>Acción de mejora: Se fomenta la participación en las encuestas de los grupos de interés a través de la web de la ESI, TAVIRA-ESI, el Campus Virtual de la coordinación y las redes sociales.</w:t>
              <w:br/>
              <w:t>Evidencia: Web del título y del centro; actas de la CGC (repositorio institucional); Anexo I de indicadores.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ISGC-P07-01_01/02: Tasa de respuesta de las encuestas de satisfacción</w:t>
            </w:r>
          </w:p>
        </w:tc>
      </w:tr>
      <w:tr>
        <w:tc>
          <w:tcPr>
            <w:tcW w:type="dxa" w:w="3245"/>
          </w:tcPr>
          <w:p>
            <w:r>
              <w:t>Recomendación ACCUA nº 7 (informe de 5 de julio de 2023): Se deben establecer procedimientos formales de coordinación del título y disponer de actas y acuerdos de las reuniones; asimismo, implementar nuevas acciones de mejora de la coordinación docente a la vista de la valoración del estudiantado.</w:t>
            </w:r>
          </w:p>
        </w:tc>
        <w:tc>
          <w:tcPr>
            <w:tcW w:type="dxa" w:w="2546"/>
          </w:tcPr>
          <w:p>
            <w:r>
              <w:t>Acción de mejora: Se están realizando reuniones de coordinación horizontal y vertical con los profesores responsables de las asignaturas por curso. Se propone la creación de un curso en el Campus Virtual con todos los coordinadores de asignatura.</w:t>
              <w:br/>
              <w:t>Evidencia: Web del título y del centro; actas de la CGC (repositorio institucional); Anexo I de indicadores.</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ISGC-P04-10: Grado de satisfacción del alumnado con la coordinación docente</w:t>
            </w:r>
          </w:p>
        </w:tc>
      </w:tr>
      <w:tr>
        <w:tc>
          <w:tcPr>
            <w:tcW w:type="dxa" w:w="3245"/>
          </w:tcPr>
          <w:p>
            <w:r>
              <w:t>Recomendación ACCUA nº 8 (informe de 5 de julio de 2023): Se recomienda seguir potenciando la participación del profesorado en acciones formativas y proyectos de innovación y actividades de mejora docente.</w:t>
            </w:r>
          </w:p>
        </w:tc>
        <w:tc>
          <w:tcPr>
            <w:tcW w:type="dxa" w:w="2546"/>
          </w:tcPr>
          <w:p>
            <w:r>
              <w:t>Acción de mejora: Se fomenta la participación del profesorado en actividades formativas y de evaluación de la calidad docente en las reuniones de coordinación y mediante la difusión de cursos de interés.</w:t>
              <w:br/>
              <w:t>Evidencia: Web del título y del centro; actas de la CGC (repositorio institucional); Anexo I de indicadores.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ISGC-P05-02: Participación del profesorado en acciones formativas</w:t>
            </w:r>
          </w:p>
        </w:tc>
      </w:tr>
      <w:tr>
        <w:tc>
          <w:tcPr>
            <w:tcW w:type="dxa" w:w="3245"/>
          </w:tcPr>
          <w:p>
            <w:r>
              <w:t>Recomendación ACCUA nº 9 (informe de 5 de julio de 2023): Se recomienda seguir con acciones para potenciar y favorecer el aumento del número de doctores y la dedicación a la investigación del profesorado, de manera que alcancen mayor número de sexenios.</w:t>
            </w:r>
          </w:p>
        </w:tc>
        <w:tc>
          <w:tcPr>
            <w:tcW w:type="dxa" w:w="2546"/>
          </w:tcPr>
          <w:p>
            <w:r>
              <w:t>Acción de mejora: Los sexenios acumulados por el profesorado del título han aumentado en los últimos cursos, por lo que se continúa con las acciones de potenciación del número de doctores y su dedicación investigadora.</w:t>
              <w:br/>
              <w:t>Evidencia: Web del título y del centro; actas de la CGC (repositorio institucional); Anexo I de indicadores.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ISGC-P05-01: Distribución y características del personal académico (sexenios)</w:t>
            </w:r>
          </w:p>
        </w:tc>
      </w:tr>
      <w:tr>
        <w:tc>
          <w:tcPr>
            <w:tcW w:type="dxa" w:w="3245"/>
          </w:tcPr>
          <w:p>
            <w:r>
              <w:t>Recomendación ACCUA nº 10 (informe de 5 de julio de 2023): Se deben poner en marcha acciones para incrementar las tasas de movilidad, casi inexistente, y mejorar la satisfacción de los estudiantes con la movilidad.</w:t>
            </w:r>
          </w:p>
        </w:tc>
        <w:tc>
          <w:tcPr>
            <w:tcW w:type="dxa" w:w="2546"/>
          </w:tcPr>
          <w:p>
            <w:r>
              <w:t>Acción de mejora: Se fomentan reuniones de estudiantes con el coordinador de movilidad del centro y jornadas informativas de destinos y programas de beca.</w:t>
              <w:br/>
              <w:t>Evidencia: Web del título y del centro; actas de la CGC (repositorio institucional); Anexo I de indicadores.</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ISGC-P04-09: Porcentaje de alumnado en programas de movilidad</w:t>
            </w:r>
          </w:p>
        </w:tc>
      </w:tr>
      <w:tr>
        <w:tc>
          <w:tcPr>
            <w:tcW w:type="dxa" w:w="3245"/>
          </w:tcPr>
          <w:p>
            <w:r>
              <w:t>Recomendación ACCUA nº 11 (informe de 5 de julio de 2023): Se debe seguir con acciones de mejora eficaces para aumentar la tasa de rendimiento del Trabajo Fin de Grado.</w:t>
            </w:r>
          </w:p>
        </w:tc>
        <w:tc>
          <w:tcPr>
            <w:tcW w:type="dxa" w:w="2546"/>
          </w:tcPr>
          <w:p>
            <w:r>
              <w:t>Acción de mejora: La aplicación de gestión de TFG/M ha permitido una mejora en la tasa de rendimiento del TFG y la agilización de los trámites.</w:t>
              <w:br/>
              <w:t>Evidencia: Web del título y del centro; actas de la CGC (repositorio institucional); Anexo I de indicadores.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ISGC-P04-11: Grado de satisfacción del alumnado con el TFG</w:t>
            </w:r>
          </w:p>
        </w:tc>
      </w:tr>
      <w:tr>
        <w:tc>
          <w:tcPr>
            <w:tcW w:type="dxa" w:w="3245"/>
          </w:tcPr>
          <w:p>
            <w:r>
              <w:t>Recomendación ACCUA nº 12 (informe de 5 de julio de 2023): Se deben poner en marcha acciones para reducir la duración media del estudio, adecuándola a la memoria, y evitar que la tasa de graduación se sitúe por debajo del valor de la memoria.</w:t>
            </w:r>
          </w:p>
        </w:tc>
        <w:tc>
          <w:tcPr>
            <w:tcW w:type="dxa" w:w="2546"/>
          </w:tcPr>
          <w:p>
            <w:r>
              <w:t>Acción de mejora: Se realizan charlas informativas para concienciar a los estudiantes de terminar la carrera antes de comenzar a trabajar.</w:t>
              <w:br/>
              <w:t>Evidencia: Web del título y del centro; actas de la CGC (repositorio institucional); Anexo I de indicadores.</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ISGC-P04-07: Duración media de los estudios</w:t>
            </w:r>
          </w:p>
        </w:tc>
      </w:tr>
      <w:tr>
        <w:tc>
          <w:tcPr>
            <w:tcW w:type="dxa" w:w="3245"/>
          </w:tcPr>
          <w:p>
            <w:r>
              <w:t>Recomendación ACCUA nº 13 (informe de 5 de julio de 2023): Se deben implantar procedimientos institucionalizados de contacto, seguimiento de la actividad laboral y toma de opinión de empleadores y egresados para la mejora continua de los programas formativos.</w:t>
            </w:r>
          </w:p>
        </w:tc>
        <w:tc>
          <w:tcPr>
            <w:tcW w:type="dxa" w:w="2546"/>
          </w:tcPr>
          <w:p>
            <w:r>
              <w:t>Acción de mejora: Conforme al apartado C del P07, el Centro facilitará la participación de empleadores en las Comisiones que estime conveniente, al menos una vez al año, para el análisis y la mejora del título. Se está trabajando en las primeras mediciones.</w:t>
              <w:br/>
              <w:t>Evidencia: Web del título y del centro; actas de la CGC (repositorio institucional); Anexo I de indicadores.</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ISGC-P07-09/10: Grado de satisfacción de los egresados</w:t>
            </w:r>
          </w:p>
        </w:tc>
      </w:tr>
      <w:tr>
        <w:tc>
          <w:tcPr>
            <w:tcW w:type="dxa" w:w="3245"/>
          </w:tcPr>
          <w:p>
            <w:r>
              <w:t>Recomendación ACCUA nº 14 (informe de 5 de julio de 2023): Se recomienda tomar en consideración las sugerencias de los egresados sobre optatividad y menciones indicadas en el informe.</w:t>
            </w:r>
          </w:p>
        </w:tc>
        <w:tc>
          <w:tcPr>
            <w:tcW w:type="dxa" w:w="2546"/>
          </w:tcPr>
          <w:p>
            <w:r>
              <w:t>Acción de mejora: Desde la Dirección del centro se están celebrando reuniones para la mejora del título en cuanto a catálogo de optativas y estructura del mismo.</w:t>
              <w:br/>
              <w:t>Evidencia: Web del título y del centro; actas de la CGC (repositorio institucional); Anexo I de indicadores.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ISGC-P07-09: Grado de satisfacción de los egresados con los estudios</w:t>
            </w:r>
          </w:p>
        </w:tc>
      </w:tr>
      <w:tr>
        <w:tc>
          <w:tcPr>
            <w:tcW w:type="dxa" w:w="3245"/>
          </w:tcPr>
          <w:p>
            <w:r>
              <w:t>Recomendación ACCUA nº 15 (informe de 5 de julio de 2023): Se recomienda poner en marcha acciones para mejorar el grado de satisfacción del alumnado con los programas y actividades de apoyo y orientación académica y profesional y para que hagan uso de los recursos a su disposición.</w:t>
            </w:r>
          </w:p>
        </w:tc>
        <w:tc>
          <w:tcPr>
            <w:tcW w:type="dxa" w:w="2546"/>
          </w:tcPr>
          <w:p>
            <w:r>
              <w:t>Acción de mejora: Se trabaja en mejorar la visibilidad de las actividades de orientación académica y profesional entre el alumnado.</w:t>
              <w:br/>
              <w:t>Evidencia: Web del título y del centro; actas de la CGC (repositorio institucional); Anexo I de indicadores.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ISGC-P06-02: Grado de satisfacción del alumnado con la orientación profesional</w:t>
            </w:r>
          </w:p>
        </w:tc>
      </w:tr>
      <w:tr>
        <w:tc>
          <w:tcPr>
            <w:tcW w:type="dxa" w:w="3245"/>
          </w:tcPr>
          <w:p>
            <w:r>
              <w:t>PD-ESI-1.1: El SGC específico del centro sigue en desarrollo y faltan ítems por publicar en la web.</w:t>
            </w:r>
          </w:p>
        </w:tc>
        <w:tc>
          <w:tcPr>
            <w:tcW w:type="dxa" w:w="2546"/>
          </w:tcPr>
          <w:p>
            <w:r>
              <w:t>Acción de mejora: AM-ESI-1.1: Avanzar en el desarrollo del SGC del centro y publicar procedimientos y acuerdos de la CGC.</w:t>
              <w:b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ISGC-P01-01: Satisfacción del alumnado con la IPD</w:t>
            </w:r>
          </w:p>
        </w:tc>
      </w:tr>
      <w:tr>
        <w:tc>
          <w:tcPr>
            <w:tcW w:type="dxa" w:w="3245"/>
          </w:tcPr>
          <w:p>
            <w:r>
              <w:t>PD-ESI-1.2: Baja participación en las encuestas de satisfacción de los grupos de interés.</w:t>
            </w:r>
          </w:p>
        </w:tc>
        <w:tc>
          <w:tcPr>
            <w:tcW w:type="dxa" w:w="2546"/>
          </w:tcPr>
          <w:p>
            <w:r>
              <w:t>Acción de mejora: AM-ESI-1.2: Analizar y desplegar acciones para aumentar la participación en las encuestas.</w:t>
              <w:b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ISGC-P07-01_01/02: Tasa de respuesta de las encuestas</w:t>
            </w:r>
          </w:p>
        </w:tc>
      </w:tr>
      <w:tr>
        <w:tc>
          <w:tcPr>
            <w:tcW w:type="dxa" w:w="3245"/>
          </w:tcPr>
          <w:p>
            <w:r>
              <w:t>PD-ESI-2.1: El centro no tiene desarrollado al completo su SGC específico.</w:t>
            </w:r>
          </w:p>
        </w:tc>
        <w:tc>
          <w:tcPr>
            <w:tcW w:type="dxa" w:w="2546"/>
          </w:tcPr>
          <w:p>
            <w:r>
              <w:t>Acción de mejora: AM-ESI-2.1: Desarrollar el SGC del centro en el marco del Programa IMPLANTA.</w:t>
              <w:br/>
              <w:t>Evidencia: Anexo I de indicadores; actas de la CGC; web del título.</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Acreditación institucional IMPLANTA</w:t>
            </w:r>
          </w:p>
        </w:tc>
      </w:tr>
      <w:tr>
        <w:tc>
          <w:tcPr>
            <w:tcW w:type="dxa" w:w="3245"/>
          </w:tcPr>
          <w:p>
            <w:r>
              <w:t>PD-ESI-2.2: No se dispone de medidas para la recogida sistemática de satisfacción de empleadores.</w:t>
            </w:r>
          </w:p>
        </w:tc>
        <w:tc>
          <w:tcPr>
            <w:tcW w:type="dxa" w:w="2546"/>
          </w:tcPr>
          <w:p>
            <w:r>
              <w:t>Acción de mejora: AM-ESI-2.2: Implantar la recogida de satisfacción de empleadores conforme al P07.</w:t>
              <w:br/>
              <w:t>Evidencia: Anexo I de indicadores; actas de la CGC; web del título.</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Satisfacción de empleadores (P07)</w:t>
            </w:r>
          </w:p>
        </w:tc>
      </w:tr>
      <w:tr>
        <w:tc>
          <w:tcPr>
            <w:tcW w:type="dxa" w:w="3245"/>
          </w:tcPr>
          <w:p>
            <w:r>
              <w:t>PD-ESI-2.3: No están publicados los históricos del Plan de Mejora ni un calendario de revisiones.</w:t>
            </w:r>
          </w:p>
        </w:tc>
        <w:tc>
          <w:tcPr>
            <w:tcW w:type="dxa" w:w="2546"/>
          </w:tcPr>
          <w:p>
            <w:r>
              <w:t>Acción de mejora: AM-ESI-2.3: Publicar en la web el histórico del Plan de Mejora y establecer revisiones periódicas.</w:t>
              <w:b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Plan de Mejora publicado</w:t>
            </w:r>
          </w:p>
        </w:tc>
      </w:tr>
      <w:tr>
        <w:tc>
          <w:tcPr>
            <w:tcW w:type="dxa" w:w="3245"/>
          </w:tcPr>
          <w:p>
            <w:r>
              <w:t>PD-ESI-3.1: No existen procedimientos formales de coordinación del título ni actas.</w:t>
            </w:r>
          </w:p>
        </w:tc>
        <w:tc>
          <w:tcPr>
            <w:tcW w:type="dxa" w:w="2546"/>
          </w:tcPr>
          <w:p>
            <w:r>
              <w:t>Acción de mejora: AM-ESI-3.1: Crear un curso en el Campus Virtual con los coordinadores de asignatura y dejar constancia documental.</w:t>
              <w:b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ISGC-P04-10: Satisfacción con la coordinación docente</w:t>
            </w:r>
          </w:p>
        </w:tc>
      </w:tr>
      <w:tr>
        <w:tc>
          <w:tcPr>
            <w:tcW w:type="dxa" w:w="3245"/>
          </w:tcPr>
          <w:p>
            <w:r>
              <w:t>PD-ESI-3.2: La satisfacción del alumnado con la coordinación docente (P04-10) ha descendido a 2,75.</w:t>
            </w:r>
          </w:p>
        </w:tc>
        <w:tc>
          <w:tcPr>
            <w:tcW w:type="dxa" w:w="2546"/>
          </w:tcPr>
          <w:p>
            <w:r>
              <w:t>Acción de mejora: AM-ESI-3.2: Analizar las causas y reforzar la coordinación horizontal y vertical.</w:t>
              <w:b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ISGC-P04-10: Satisfacción con la coordinación docente</w:t>
            </w:r>
          </w:p>
        </w:tc>
      </w:tr>
      <w:tr>
        <w:tc>
          <w:tcPr>
            <w:tcW w:type="dxa" w:w="3245"/>
          </w:tcPr>
          <w:p>
            <w:r>
              <w:t>PD-ESI-4.1: Baja participación del profesorado en acciones formativas (P05-02: 25,68%).</w:t>
            </w:r>
          </w:p>
        </w:tc>
        <w:tc>
          <w:tcPr>
            <w:tcW w:type="dxa" w:w="2546"/>
          </w:tcPr>
          <w:p>
            <w:r>
              <w:t>Acción de mejora: AM-ESI-4.1: Fomentar la participación del profesorado en formación e innovación docente.</w:t>
              <w:b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ISGC-P05-02: Participación del profesorado en acciones formativas</w:t>
            </w:r>
          </w:p>
        </w:tc>
      </w:tr>
      <w:tr>
        <w:tc>
          <w:tcPr>
            <w:tcW w:type="dxa" w:w="3245"/>
          </w:tcPr>
          <w:p>
            <w:r>
              <w:t>PD-ESI-4.2: Descenso de la satisfacción del alumnado con el TFG (P04-11: 2,48).</w:t>
            </w:r>
          </w:p>
        </w:tc>
        <w:tc>
          <w:tcPr>
            <w:tcW w:type="dxa" w:w="2546"/>
          </w:tcPr>
          <w:p>
            <w:r>
              <w:t>Acción de mejora: AM-ESI-4.2: Reforzar las jornadas de TFG y la asignación de tutores.</w:t>
              <w:b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ISGC-P04-11: Satisfacción del alumnado con el TFG</w:t>
            </w:r>
          </w:p>
        </w:tc>
      </w:tr>
      <w:tr>
        <w:tc>
          <w:tcPr>
            <w:tcW w:type="dxa" w:w="3245"/>
          </w:tcPr>
          <w:p>
            <w:r>
              <w:t>PD-ESI-5.1: Movilidad muy reducida y descenso de la satisfacción con la movilidad (P04-15: 2,56).</w:t>
            </w:r>
          </w:p>
        </w:tc>
        <w:tc>
          <w:tcPr>
            <w:tcW w:type="dxa" w:w="2546"/>
          </w:tcPr>
          <w:p>
            <w:r>
              <w:t>Acción de mejora: AM-ESI-5.1: Fomentar reuniones con el coordinador de movilidad y difundir destinos.</w:t>
              <w:b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ISGC-P04-09 y 15: Movilidad y satisfacción</w:t>
            </w:r>
          </w:p>
        </w:tc>
      </w:tr>
      <w:tr>
        <w:tc>
          <w:tcPr>
            <w:tcW w:type="dxa" w:w="3245"/>
          </w:tcPr>
          <w:p>
            <w:r>
              <w:t>PD-ESI-5.2: Descenso de la satisfacción del alumnado con recursos e infraestructuras (P06-03: 3,37).</w:t>
            </w:r>
          </w:p>
        </w:tc>
        <w:tc>
          <w:tcPr>
            <w:tcW w:type="dxa" w:w="2546"/>
          </w:tcPr>
          <w:p>
            <w:r>
              <w:t>Acción de mejora: AM-ESI-5.2: Trasladar a la Dirección y a la UCA las necesidades de espacios y equipamiento.</w:t>
              <w:b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ISGC-P06-03: Satisfacción del alumnado con recursos</w:t>
            </w:r>
          </w:p>
        </w:tc>
      </w:tr>
      <w:tr>
        <w:tc>
          <w:tcPr>
            <w:tcW w:type="dxa" w:w="3245"/>
          </w:tcPr>
          <w:p>
            <w:r>
              <w:t>PD-ESI-6.1: Descenso de la tasa de graduación (P04-05: 16,4%).</w:t>
            </w:r>
          </w:p>
        </w:tc>
        <w:tc>
          <w:tcPr>
            <w:tcW w:type="dxa" w:w="2546"/>
          </w:tcPr>
          <w:p>
            <w:r>
              <w:t>Acción de mejora: AM-ESI-6.1: Charlas de concienciación para finalizar el TFG antes de incorporarse al empleo y analizar causas.</w:t>
              <w:br/>
              <w:t>Evidencia: Anexo I de indicadores; actas de la CGC; web del título.</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ISGC-P04-05: Tasa de graduación</w:t>
            </w:r>
          </w:p>
        </w:tc>
      </w:tr>
      <w:tr>
        <w:tc>
          <w:tcPr>
            <w:tcW w:type="dxa" w:w="3245"/>
          </w:tcPr>
          <w:p>
            <w:r>
              <w:t>PD-ESI-6.2: Aumento de la duración media de los estudios (P04-07: 6,4 años).</w:t>
            </w:r>
          </w:p>
        </w:tc>
        <w:tc>
          <w:tcPr>
            <w:tcW w:type="dxa" w:w="2546"/>
          </w:tcPr>
          <w:p>
            <w:r>
              <w:t>Acción de mejora: AM-ESI-6.2: Analizar las causas y agilizar el TFG.</w:t>
              <w:b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ISGC-P04-07: Duración media de los estudios</w:t>
            </w:r>
          </w:p>
        </w:tc>
      </w:tr>
      <w:tr>
        <w:tc>
          <w:tcPr>
            <w:tcW w:type="dxa" w:w="3245"/>
          </w:tcPr>
          <w:p>
            <w:r>
              <w:t>PD-ESI-7.1: Satisfacción mejorable con la orientación académica y profesional (P06-01/02).</w:t>
            </w:r>
          </w:p>
        </w:tc>
        <w:tc>
          <w:tcPr>
            <w:tcW w:type="dxa" w:w="2546"/>
          </w:tcPr>
          <w:p>
            <w:r>
              <w:t>Acción de mejora: AM-ESI-7.1: Mejorar la visibilidad de las actividades de orientación.</w:t>
              <w:b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ISGC-P06-01 y 02: Satisfacción con la orientación</w:t>
            </w:r>
          </w:p>
        </w:tc>
      </w:tr>
      <w:tr>
        <w:tc>
          <w:tcPr>
            <w:tcW w:type="dxa" w:w="3245"/>
          </w:tcPr>
          <w:p>
            <w:r>
              <w:t>PD-ESI-7.2: Ausencia de datos de satisfacción de empleadores.</w:t>
            </w:r>
          </w:p>
        </w:tc>
        <w:tc>
          <w:tcPr>
            <w:tcW w:type="dxa" w:w="2546"/>
          </w:tcPr>
          <w:p>
            <w:r>
              <w:t>Acción de mejora: AM-ESI-7.2: Implantar el procedimiento de toma de opinión de empleadores (P07).</w:t>
              <w:br/>
              <w:t>Evidencia: Anexo I de indicadores; actas de la CGC; web del título.</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Satisfacción de empleadores (P07)</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3,45</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4,04</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4,61</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4,19</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3,64</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4,04</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4,61</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4,19</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62,4%</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69,2%</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67,4%</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82,7%</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76,7%</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80,4%</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81,9%</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79,8%</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81,4%</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84,6%</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84,5%</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84,5%</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17,6%</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15,3%</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12,1%</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10,4%</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25,7%</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77,6%</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76,7%</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73,4%</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77,8%</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73,4%</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1,14</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1,15</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0,47%</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0,72%</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0,94%</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0,23%</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1,42%</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5,74%</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1,84%</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0,23%</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2,39</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2,48</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4,25</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4,38</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2,11</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2,32</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2,38</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2,62</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2,56</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58,9%</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60,5%</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74,4%</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71,8%</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81,8%</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77,3%</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79,7%</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82,5%</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26,8%</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17,8%</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73,7%</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71,6%</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72,1%</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5,97</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0,87</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0,88%</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0,52%</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0,54%</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1,58%</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2,64</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1,91</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2,32</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2,84</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46,97%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25,68%</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39,44%</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40,58%</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32,86%</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41,89%</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24,24%</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22,54%</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22,54%</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11,43%</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22,97%</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87,5%</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52,94%</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47,06%</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47,47%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42,37%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33,09%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47,08%</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33,33%</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52,53%</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45,42%</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42,75%</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30,74%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39,22%</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24,24%</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22,54%</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22,54%</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11,43%</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22,97%</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62,5%</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87,5%</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52,94%</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37,5%</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12,5%</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47,06%</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2,36</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2,71</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4,59</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2,36</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2,71</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4,59</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31,21%</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26,97%</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30,44%</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22,89%</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17,58%</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34,29%</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29,17%</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26,03%</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26,31%</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23,38%</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4,42</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25,49%</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20,67%</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26,19%</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20,21%</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25,13%</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18,98%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17,31%</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17,49%</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15,41%</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4,42</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21,05%</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83,33</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87,5</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2,63</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0,82%</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0,97%</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2,65%</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0,78%</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1,22%</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0,32%</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0,58%</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0,65%</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0,07%</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21DAC134" w14:textId="0BE8EDE4" w:rsidR="005436A8" w:rsidRPr="00EA51D0" w:rsidRDefault="00A10ED2" w:rsidP="005436A8">
      <w:pPr>
        <w:pStyle w:val="Ttulo5"/>
        <w:rPr>
          <w:rFonts w:ascii="Times New Roman" w:eastAsia="Times New Roman" w:hAnsi="Times New Roman"/>
        </w:rPr>
      </w:pPr>
      <w:hyperlink r:id="rId65" w:history="1">
        <w:r w:rsidR="005436A8" w:rsidRPr="00EA51D0">
          <w:rPr>
            <w:rStyle w:val="Hipervnculo"/>
            <w:i/>
          </w:rPr>
          <w:t>https://data.uca.es/lincebi</w:t>
        </w:r>
      </w:hyperlink>
      <w:r w:rsidR="005436A8" w:rsidRPr="00EA51D0">
        <w:rPr>
          <w:i/>
        </w:rPr>
        <w:t xml:space="preserve"> - </w:t>
      </w:r>
      <w:proofErr w:type="spellStart"/>
      <w:proofErr w:type="spellEnd"/>
      <w:r w:rsidR="005436A8" w:rsidRPr="00EA51D0">
        <w:t xml:space="preserve"> </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00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Style w:val="Tablaconcuadrcula"/>
        <w:tblW w:type="auto" w:w="0"/>
        <w:tblLook w:firstColumn="1" w:firstRow="1" w:lastColumn="0" w:lastRow="0" w:noHBand="0" w:noVBand="1" w:val="04A0"/>
      </w:tblPr>
      <w:tblGrid>
        <w:gridCol w:w="2081"/>
        <w:gridCol w:w="2081"/>
        <w:gridCol w:w="2081"/>
        <w:gridCol w:w="2081"/>
        <w:gridCol w:w="2081"/>
        <w:gridCol w:w="2081"/>
        <w:gridCol w:w="2081"/>
      </w:tblGrid>
      <w:tr>
        <w:tc>
          <w:tcPr>
            <w:tcW w:type="dxa" w:w="2081"/>
          </w:tcPr>
          <w:p>
            <w:r/>
            <w:r>
              <w:rPr>
                <w:b/>
                <w:sz w:val="18"/>
              </w:rPr>
              <w:t>Asignatura</w:t>
            </w:r>
          </w:p>
        </w:tc>
        <w:tc>
          <w:tcPr>
            <w:tcW w:type="dxa" w:w="2081"/>
          </w:tcPr>
          <w:p>
            <w:r/>
            <w:r>
              <w:rPr>
                <w:b/>
                <w:sz w:val="18"/>
              </w:rPr>
              <w:t>%No Presentados</w:t>
            </w:r>
          </w:p>
        </w:tc>
        <w:tc>
          <w:tcPr>
            <w:tcW w:type="dxa" w:w="2081"/>
          </w:tcPr>
          <w:p>
            <w:r/>
            <w:r>
              <w:rPr>
                <w:b/>
                <w:sz w:val="18"/>
              </w:rPr>
              <w:t>%Suspensos</w:t>
            </w:r>
          </w:p>
        </w:tc>
        <w:tc>
          <w:tcPr>
            <w:tcW w:type="dxa" w:w="2081"/>
          </w:tcPr>
          <w:p>
            <w:r/>
            <w:r>
              <w:rPr>
                <w:b/>
                <w:sz w:val="18"/>
              </w:rPr>
              <w:t>%Aprobados</w:t>
            </w:r>
          </w:p>
        </w:tc>
        <w:tc>
          <w:tcPr>
            <w:tcW w:type="dxa" w:w="2081"/>
          </w:tcPr>
          <w:p>
            <w:r/>
            <w:r>
              <w:rPr>
                <w:b/>
                <w:sz w:val="18"/>
              </w:rPr>
              <w:t>%Notables</w:t>
            </w:r>
          </w:p>
        </w:tc>
        <w:tc>
          <w:tcPr>
            <w:tcW w:type="dxa" w:w="2081"/>
          </w:tcPr>
          <w:p>
            <w:r/>
            <w:r>
              <w:rPr>
                <w:b/>
                <w:sz w:val="18"/>
              </w:rPr>
              <w:t>%Sobresalientes</w:t>
            </w:r>
          </w:p>
        </w:tc>
        <w:tc>
          <w:tcPr>
            <w:tcW w:type="dxa" w:w="2081"/>
          </w:tcPr>
          <w:p>
            <w:r/>
            <w:r>
              <w:rPr>
                <w:b/>
                <w:sz w:val="18"/>
              </w:rPr>
              <w:t>%MH</w:t>
            </w:r>
          </w:p>
        </w:tc>
      </w:tr>
      <w:tr>
        <w:tc>
          <w:tcPr>
            <w:tcW w:type="dxa" w:w="2081"/>
          </w:tcPr>
          <w:p>
            <w:r/>
            <w:r>
              <w:rPr>
                <w:sz w:val="18"/>
              </w:rPr>
              <w:t>Aerodinámica I</w:t>
            </w:r>
          </w:p>
        </w:tc>
        <w:tc>
          <w:tcPr>
            <w:tcW w:type="dxa" w:w="2081"/>
          </w:tcPr>
          <w:p>
            <w:r/>
            <w:r>
              <w:rPr>
                <w:sz w:val="18"/>
              </w:rPr>
              <w:t>25</w:t>
            </w:r>
          </w:p>
        </w:tc>
        <w:tc>
          <w:tcPr>
            <w:tcW w:type="dxa" w:w="2081"/>
          </w:tcPr>
          <w:p>
            <w:r/>
            <w:r>
              <w:rPr>
                <w:sz w:val="18"/>
              </w:rPr>
              <w:t>12</w:t>
            </w:r>
          </w:p>
        </w:tc>
        <w:tc>
          <w:tcPr>
            <w:tcW w:type="dxa" w:w="2081"/>
          </w:tcPr>
          <w:p>
            <w:r/>
            <w:r>
              <w:rPr>
                <w:sz w:val="18"/>
              </w:rPr>
              <w:t>42</w:t>
            </w:r>
          </w:p>
        </w:tc>
        <w:tc>
          <w:tcPr>
            <w:tcW w:type="dxa" w:w="2081"/>
          </w:tcPr>
          <w:p>
            <w:r/>
            <w:r>
              <w:rPr>
                <w:sz w:val="18"/>
              </w:rPr>
              <w:t>19</w:t>
            </w:r>
          </w:p>
        </w:tc>
        <w:tc>
          <w:tcPr>
            <w:tcW w:type="dxa" w:w="2081"/>
          </w:tcPr>
          <w:p>
            <w:r/>
            <w:r>
              <w:rPr>
                <w:sz w:val="18"/>
              </w:rPr>
              <w:t>0</w:t>
            </w:r>
          </w:p>
        </w:tc>
        <w:tc>
          <w:tcPr>
            <w:tcW w:type="dxa" w:w="2081"/>
          </w:tcPr>
          <w:p>
            <w:r/>
            <w:r>
              <w:rPr>
                <w:sz w:val="18"/>
              </w:rPr>
              <w:t>2</w:t>
            </w:r>
          </w:p>
        </w:tc>
      </w:tr>
      <w:tr>
        <w:tc>
          <w:tcPr>
            <w:tcW w:type="dxa" w:w="2081"/>
          </w:tcPr>
          <w:p>
            <w:r/>
            <w:r>
              <w:rPr>
                <w:sz w:val="18"/>
              </w:rPr>
              <w:t>Aerodinámica II</w:t>
            </w:r>
          </w:p>
        </w:tc>
        <w:tc>
          <w:tcPr>
            <w:tcW w:type="dxa" w:w="2081"/>
          </w:tcPr>
          <w:p>
            <w:r/>
            <w:r>
              <w:rPr>
                <w:sz w:val="18"/>
              </w:rPr>
              <w:t>27</w:t>
            </w:r>
          </w:p>
        </w:tc>
        <w:tc>
          <w:tcPr>
            <w:tcW w:type="dxa" w:w="2081"/>
          </w:tcPr>
          <w:p>
            <w:r/>
            <w:r>
              <w:rPr>
                <w:sz w:val="18"/>
              </w:rPr>
              <w:t>25</w:t>
            </w:r>
          </w:p>
        </w:tc>
        <w:tc>
          <w:tcPr>
            <w:tcW w:type="dxa" w:w="2081"/>
          </w:tcPr>
          <w:p>
            <w:r/>
            <w:r>
              <w:rPr>
                <w:sz w:val="18"/>
              </w:rPr>
              <w:t>41</w:t>
            </w:r>
          </w:p>
        </w:tc>
        <w:tc>
          <w:tcPr>
            <w:tcW w:type="dxa" w:w="2081"/>
          </w:tcPr>
          <w:p>
            <w:r/>
            <w:r>
              <w:rPr>
                <w:sz w:val="18"/>
              </w:rPr>
              <w:t>4</w:t>
            </w:r>
          </w:p>
        </w:tc>
        <w:tc>
          <w:tcPr>
            <w:tcW w:type="dxa" w:w="2081"/>
          </w:tcPr>
          <w:p>
            <w:r/>
            <w:r>
              <w:rPr>
                <w:sz w:val="18"/>
              </w:rPr>
              <w:t>0</w:t>
            </w:r>
          </w:p>
        </w:tc>
        <w:tc>
          <w:tcPr>
            <w:tcW w:type="dxa" w:w="2081"/>
          </w:tcPr>
          <w:p>
            <w:r/>
            <w:r>
              <w:rPr>
                <w:sz w:val="18"/>
              </w:rPr>
              <w:t>0</w:t>
            </w:r>
          </w:p>
        </w:tc>
      </w:tr>
      <w:tr>
        <w:tc>
          <w:tcPr>
            <w:tcW w:type="dxa" w:w="2081"/>
          </w:tcPr>
          <w:p>
            <w:r/>
            <w:r>
              <w:rPr>
                <w:sz w:val="18"/>
              </w:rPr>
              <w:t>Aerodinámica y Aeroelasticidad</w:t>
            </w:r>
          </w:p>
        </w:tc>
        <w:tc>
          <w:tcPr>
            <w:tcW w:type="dxa" w:w="2081"/>
          </w:tcPr>
          <w:p>
            <w:r/>
            <w:r>
              <w:rPr>
                <w:sz w:val="18"/>
              </w:rPr>
              <w:t>35</w:t>
            </w:r>
          </w:p>
        </w:tc>
        <w:tc>
          <w:tcPr>
            <w:tcW w:type="dxa" w:w="2081"/>
          </w:tcPr>
          <w:p>
            <w:r/>
            <w:r>
              <w:rPr>
                <w:sz w:val="18"/>
              </w:rPr>
              <w:t>17</w:t>
            </w:r>
          </w:p>
        </w:tc>
        <w:tc>
          <w:tcPr>
            <w:tcW w:type="dxa" w:w="2081"/>
          </w:tcPr>
          <w:p>
            <w:r/>
            <w:r>
              <w:rPr>
                <w:sz w:val="18"/>
              </w:rPr>
              <w:t>44</w:t>
            </w:r>
          </w:p>
        </w:tc>
        <w:tc>
          <w:tcPr>
            <w:tcW w:type="dxa" w:w="2081"/>
          </w:tcPr>
          <w:p>
            <w:r/>
            <w:r>
              <w:rPr>
                <w:sz w:val="18"/>
              </w:rPr>
              <w:t>4</w:t>
            </w:r>
          </w:p>
        </w:tc>
        <w:tc>
          <w:tcPr>
            <w:tcW w:type="dxa" w:w="2081"/>
          </w:tcPr>
          <w:p>
            <w:r/>
            <w:r>
              <w:rPr>
                <w:sz w:val="18"/>
              </w:rPr>
              <w:t>0</w:t>
            </w:r>
          </w:p>
        </w:tc>
        <w:tc>
          <w:tcPr>
            <w:tcW w:type="dxa" w:w="2081"/>
          </w:tcPr>
          <w:p>
            <w:r/>
            <w:r>
              <w:rPr>
                <w:sz w:val="18"/>
              </w:rPr>
              <w:t>0</w:t>
            </w:r>
          </w:p>
        </w:tc>
      </w:tr>
      <w:tr>
        <w:tc>
          <w:tcPr>
            <w:tcW w:type="dxa" w:w="2081"/>
          </w:tcPr>
          <w:p>
            <w:r/>
            <w:r>
              <w:rPr>
                <w:sz w:val="18"/>
              </w:rPr>
              <w:t>Aeronaves</w:t>
            </w:r>
          </w:p>
        </w:tc>
        <w:tc>
          <w:tcPr>
            <w:tcW w:type="dxa" w:w="2081"/>
          </w:tcPr>
          <w:p>
            <w:r/>
            <w:r>
              <w:rPr>
                <w:sz w:val="18"/>
              </w:rPr>
              <w:t>0</w:t>
            </w:r>
          </w:p>
        </w:tc>
        <w:tc>
          <w:tcPr>
            <w:tcW w:type="dxa" w:w="2081"/>
          </w:tcPr>
          <w:p>
            <w:r/>
            <w:r>
              <w:rPr>
                <w:sz w:val="18"/>
              </w:rPr>
              <w:t>0</w:t>
            </w:r>
          </w:p>
        </w:tc>
        <w:tc>
          <w:tcPr>
            <w:tcW w:type="dxa" w:w="2081"/>
          </w:tcPr>
          <w:p>
            <w:r/>
            <w:r>
              <w:rPr>
                <w:sz w:val="18"/>
              </w:rPr>
              <w:t>20</w:t>
            </w:r>
          </w:p>
        </w:tc>
        <w:tc>
          <w:tcPr>
            <w:tcW w:type="dxa" w:w="2081"/>
          </w:tcPr>
          <w:p>
            <w:r/>
            <w:r>
              <w:rPr>
                <w:sz w:val="18"/>
              </w:rPr>
              <w:t>80</w:t>
            </w:r>
          </w:p>
        </w:tc>
        <w:tc>
          <w:tcPr>
            <w:tcW w:type="dxa" w:w="2081"/>
          </w:tcPr>
          <w:p>
            <w:r/>
            <w:r>
              <w:rPr>
                <w:sz w:val="18"/>
              </w:rPr>
              <w:t>0</w:t>
            </w:r>
          </w:p>
        </w:tc>
        <w:tc>
          <w:tcPr>
            <w:tcW w:type="dxa" w:w="2081"/>
          </w:tcPr>
          <w:p>
            <w:r/>
            <w:r>
              <w:rPr>
                <w:sz w:val="18"/>
              </w:rPr>
              <w:t>0</w:t>
            </w:r>
          </w:p>
        </w:tc>
      </w:tr>
      <w:tr>
        <w:tc>
          <w:tcPr>
            <w:tcW w:type="dxa" w:w="2081"/>
          </w:tcPr>
          <w:p>
            <w:r/>
            <w:r>
              <w:rPr>
                <w:sz w:val="18"/>
              </w:rPr>
              <w:t>Aeropuertos</w:t>
            </w:r>
          </w:p>
        </w:tc>
        <w:tc>
          <w:tcPr>
            <w:tcW w:type="dxa" w:w="2081"/>
          </w:tcPr>
          <w:p>
            <w:r/>
            <w:r>
              <w:rPr>
                <w:sz w:val="18"/>
              </w:rPr>
              <w:t>4</w:t>
            </w:r>
          </w:p>
        </w:tc>
        <w:tc>
          <w:tcPr>
            <w:tcW w:type="dxa" w:w="2081"/>
          </w:tcPr>
          <w:p>
            <w:r/>
            <w:r>
              <w:rPr>
                <w:sz w:val="18"/>
              </w:rPr>
              <w:t>0</w:t>
            </w:r>
          </w:p>
        </w:tc>
        <w:tc>
          <w:tcPr>
            <w:tcW w:type="dxa" w:w="2081"/>
          </w:tcPr>
          <w:p>
            <w:r/>
            <w:r>
              <w:rPr>
                <w:sz w:val="18"/>
              </w:rPr>
              <w:t>33</w:t>
            </w:r>
          </w:p>
        </w:tc>
        <w:tc>
          <w:tcPr>
            <w:tcW w:type="dxa" w:w="2081"/>
          </w:tcPr>
          <w:p>
            <w:r/>
            <w:r>
              <w:rPr>
                <w:sz w:val="18"/>
              </w:rPr>
              <w:t>51</w:t>
            </w:r>
          </w:p>
        </w:tc>
        <w:tc>
          <w:tcPr>
            <w:tcW w:type="dxa" w:w="2081"/>
          </w:tcPr>
          <w:p>
            <w:r/>
            <w:r>
              <w:rPr>
                <w:sz w:val="18"/>
              </w:rPr>
              <w:t>9</w:t>
            </w:r>
          </w:p>
        </w:tc>
        <w:tc>
          <w:tcPr>
            <w:tcW w:type="dxa" w:w="2081"/>
          </w:tcPr>
          <w:p>
            <w:r/>
            <w:r>
              <w:rPr>
                <w:sz w:val="18"/>
              </w:rPr>
              <w:t>4</w:t>
            </w:r>
          </w:p>
        </w:tc>
      </w:tr>
      <w:tr>
        <w:tc>
          <w:tcPr>
            <w:tcW w:type="dxa" w:w="2081"/>
          </w:tcPr>
          <w:p>
            <w:r/>
            <w:r>
              <w:rPr>
                <w:sz w:val="18"/>
              </w:rPr>
              <w:t>Ampliación de Matemáticas</w:t>
            </w:r>
          </w:p>
        </w:tc>
        <w:tc>
          <w:tcPr>
            <w:tcW w:type="dxa" w:w="2081"/>
          </w:tcPr>
          <w:p>
            <w:r/>
            <w:r>
              <w:rPr>
                <w:sz w:val="18"/>
              </w:rPr>
              <w:t>16</w:t>
            </w:r>
          </w:p>
        </w:tc>
        <w:tc>
          <w:tcPr>
            <w:tcW w:type="dxa" w:w="2081"/>
          </w:tcPr>
          <w:p>
            <w:r/>
            <w:r>
              <w:rPr>
                <w:sz w:val="18"/>
              </w:rPr>
              <w:t>18</w:t>
            </w:r>
          </w:p>
        </w:tc>
        <w:tc>
          <w:tcPr>
            <w:tcW w:type="dxa" w:w="2081"/>
          </w:tcPr>
          <w:p>
            <w:r/>
            <w:r>
              <w:rPr>
                <w:sz w:val="18"/>
              </w:rPr>
              <w:t>40</w:t>
            </w:r>
          </w:p>
        </w:tc>
        <w:tc>
          <w:tcPr>
            <w:tcW w:type="dxa" w:w="2081"/>
          </w:tcPr>
          <w:p>
            <w:r/>
            <w:r>
              <w:rPr>
                <w:sz w:val="18"/>
              </w:rPr>
              <w:t>26</w:t>
            </w:r>
          </w:p>
        </w:tc>
        <w:tc>
          <w:tcPr>
            <w:tcW w:type="dxa" w:w="2081"/>
          </w:tcPr>
          <w:p>
            <w:r/>
            <w:r>
              <w:rPr>
                <w:sz w:val="18"/>
              </w:rPr>
              <w:t>0</w:t>
            </w:r>
          </w:p>
        </w:tc>
        <w:tc>
          <w:tcPr>
            <w:tcW w:type="dxa" w:w="2081"/>
          </w:tcPr>
          <w:p>
            <w:r/>
            <w:r>
              <w:rPr>
                <w:sz w:val="18"/>
              </w:rPr>
              <w:t>0</w:t>
            </w:r>
          </w:p>
        </w:tc>
      </w:tr>
      <w:tr>
        <w:tc>
          <w:tcPr>
            <w:tcW w:type="dxa" w:w="2081"/>
          </w:tcPr>
          <w:p>
            <w:r/>
            <w:r>
              <w:rPr>
                <w:sz w:val="18"/>
              </w:rPr>
              <w:t>Automática</w:t>
            </w:r>
          </w:p>
        </w:tc>
        <w:tc>
          <w:tcPr>
            <w:tcW w:type="dxa" w:w="2081"/>
          </w:tcPr>
          <w:p>
            <w:r/>
            <w:r>
              <w:rPr>
                <w:sz w:val="18"/>
              </w:rPr>
              <w:t>18</w:t>
            </w:r>
          </w:p>
        </w:tc>
        <w:tc>
          <w:tcPr>
            <w:tcW w:type="dxa" w:w="2081"/>
          </w:tcPr>
          <w:p>
            <w:r/>
            <w:r>
              <w:rPr>
                <w:sz w:val="18"/>
              </w:rPr>
              <w:t>16</w:t>
            </w:r>
          </w:p>
        </w:tc>
        <w:tc>
          <w:tcPr>
            <w:tcW w:type="dxa" w:w="2081"/>
          </w:tcPr>
          <w:p>
            <w:r/>
            <w:r>
              <w:rPr>
                <w:sz w:val="18"/>
              </w:rPr>
              <w:t>46</w:t>
            </w:r>
          </w:p>
        </w:tc>
        <w:tc>
          <w:tcPr>
            <w:tcW w:type="dxa" w:w="2081"/>
          </w:tcPr>
          <w:p>
            <w:r/>
            <w:r>
              <w:rPr>
                <w:sz w:val="18"/>
              </w:rPr>
              <w:t>16</w:t>
            </w:r>
          </w:p>
        </w:tc>
        <w:tc>
          <w:tcPr>
            <w:tcW w:type="dxa" w:w="2081"/>
          </w:tcPr>
          <w:p>
            <w:r/>
            <w:r>
              <w:rPr>
                <w:sz w:val="18"/>
              </w:rPr>
              <w:t>3</w:t>
            </w:r>
          </w:p>
        </w:tc>
        <w:tc>
          <w:tcPr>
            <w:tcW w:type="dxa" w:w="2081"/>
          </w:tcPr>
          <w:p>
            <w:r/>
            <w:r>
              <w:rPr>
                <w:sz w:val="18"/>
              </w:rPr>
              <w:t>0</w:t>
            </w:r>
          </w:p>
        </w:tc>
      </w:tr>
      <w:tr>
        <w:tc>
          <w:tcPr>
            <w:tcW w:type="dxa" w:w="2081"/>
          </w:tcPr>
          <w:p>
            <w:r/>
            <w:r>
              <w:rPr>
                <w:sz w:val="18"/>
              </w:rPr>
              <w:t>Aviónica y Sistemas de Ayuda a la Navegación</w:t>
            </w:r>
          </w:p>
        </w:tc>
        <w:tc>
          <w:tcPr>
            <w:tcW w:type="dxa" w:w="2081"/>
          </w:tcPr>
          <w:p>
            <w:r/>
            <w:r>
              <w:rPr>
                <w:sz w:val="18"/>
              </w:rPr>
              <w:t>17</w:t>
            </w:r>
          </w:p>
        </w:tc>
        <w:tc>
          <w:tcPr>
            <w:tcW w:type="dxa" w:w="2081"/>
          </w:tcPr>
          <w:p>
            <w:r/>
            <w:r>
              <w:rPr>
                <w:sz w:val="18"/>
              </w:rPr>
              <w:t>30</w:t>
            </w:r>
          </w:p>
        </w:tc>
        <w:tc>
          <w:tcPr>
            <w:tcW w:type="dxa" w:w="2081"/>
          </w:tcPr>
          <w:p>
            <w:r/>
            <w:r>
              <w:rPr>
                <w:sz w:val="18"/>
              </w:rPr>
              <w:t>35</w:t>
            </w:r>
          </w:p>
        </w:tc>
        <w:tc>
          <w:tcPr>
            <w:tcW w:type="dxa" w:w="2081"/>
          </w:tcPr>
          <w:p>
            <w:r/>
            <w:r>
              <w:rPr>
                <w:sz w:val="18"/>
              </w:rPr>
              <w:t>19</w:t>
            </w:r>
          </w:p>
        </w:tc>
        <w:tc>
          <w:tcPr>
            <w:tcW w:type="dxa" w:w="2081"/>
          </w:tcPr>
          <w:p>
            <w:r/>
            <w:r>
              <w:rPr>
                <w:sz w:val="18"/>
              </w:rPr>
              <w:t>0</w:t>
            </w:r>
          </w:p>
        </w:tc>
        <w:tc>
          <w:tcPr>
            <w:tcW w:type="dxa" w:w="2081"/>
          </w:tcPr>
          <w:p>
            <w:r/>
            <w:r>
              <w:rPr>
                <w:sz w:val="18"/>
              </w:rPr>
              <w:t>0</w:t>
            </w:r>
          </w:p>
        </w:tc>
      </w:tr>
      <w:tr>
        <w:tc>
          <w:tcPr>
            <w:tcW w:type="dxa" w:w="2081"/>
          </w:tcPr>
          <w:p>
            <w:r/>
            <w:r>
              <w:rPr>
                <w:sz w:val="18"/>
              </w:rPr>
              <w:t>Ciencia e Ingeniería de Materiales</w:t>
            </w:r>
          </w:p>
        </w:tc>
        <w:tc>
          <w:tcPr>
            <w:tcW w:type="dxa" w:w="2081"/>
          </w:tcPr>
          <w:p>
            <w:r/>
            <w:r>
              <w:rPr>
                <w:sz w:val="18"/>
              </w:rPr>
              <w:t>4</w:t>
            </w:r>
          </w:p>
        </w:tc>
        <w:tc>
          <w:tcPr>
            <w:tcW w:type="dxa" w:w="2081"/>
          </w:tcPr>
          <w:p>
            <w:r/>
            <w:r>
              <w:rPr>
                <w:sz w:val="18"/>
              </w:rPr>
              <w:t>0</w:t>
            </w:r>
          </w:p>
        </w:tc>
        <w:tc>
          <w:tcPr>
            <w:tcW w:type="dxa" w:w="2081"/>
          </w:tcPr>
          <w:p>
            <w:r/>
            <w:r>
              <w:rPr>
                <w:sz w:val="18"/>
              </w:rPr>
              <w:t>62</w:t>
            </w:r>
          </w:p>
        </w:tc>
        <w:tc>
          <w:tcPr>
            <w:tcW w:type="dxa" w:w="2081"/>
          </w:tcPr>
          <w:p>
            <w:r/>
            <w:r>
              <w:rPr>
                <w:sz w:val="18"/>
              </w:rPr>
              <w:t>26</w:t>
            </w:r>
          </w:p>
        </w:tc>
        <w:tc>
          <w:tcPr>
            <w:tcW w:type="dxa" w:w="2081"/>
          </w:tcPr>
          <w:p>
            <w:r/>
            <w:r>
              <w:rPr>
                <w:sz w:val="18"/>
              </w:rPr>
              <w:t>6</w:t>
            </w:r>
          </w:p>
        </w:tc>
        <w:tc>
          <w:tcPr>
            <w:tcW w:type="dxa" w:w="2081"/>
          </w:tcPr>
          <w:p>
            <w:r/>
            <w:r>
              <w:rPr>
                <w:sz w:val="18"/>
              </w:rPr>
              <w:t>1</w:t>
            </w:r>
          </w:p>
        </w:tc>
      </w:tr>
      <w:tr>
        <w:tc>
          <w:tcPr>
            <w:tcW w:type="dxa" w:w="2081"/>
          </w:tcPr>
          <w:p>
            <w:r/>
            <w:r>
              <w:rPr>
                <w:sz w:val="18"/>
              </w:rPr>
              <w:t>Comportamiento y Control de Materiales Aeroespaciales</w:t>
            </w:r>
          </w:p>
        </w:tc>
        <w:tc>
          <w:tcPr>
            <w:tcW w:type="dxa" w:w="2081"/>
          </w:tcPr>
          <w:p>
            <w:r/>
            <w:r>
              <w:rPr>
                <w:sz w:val="18"/>
              </w:rPr>
              <w:t>0</w:t>
            </w:r>
          </w:p>
        </w:tc>
        <w:tc>
          <w:tcPr>
            <w:tcW w:type="dxa" w:w="2081"/>
          </w:tcPr>
          <w:p>
            <w:r/>
            <w:r>
              <w:rPr>
                <w:sz w:val="18"/>
              </w:rPr>
              <w:t>0</w:t>
            </w:r>
          </w:p>
        </w:tc>
        <w:tc>
          <w:tcPr>
            <w:tcW w:type="dxa" w:w="2081"/>
          </w:tcPr>
          <w:p>
            <w:r/>
            <w:r>
              <w:rPr>
                <w:sz w:val="18"/>
              </w:rPr>
              <w:t>57</w:t>
            </w:r>
          </w:p>
        </w:tc>
        <w:tc>
          <w:tcPr>
            <w:tcW w:type="dxa" w:w="2081"/>
          </w:tcPr>
          <w:p>
            <w:r/>
            <w:r>
              <w:rPr>
                <w:sz w:val="18"/>
              </w:rPr>
              <w:t>43</w:t>
            </w:r>
          </w:p>
        </w:tc>
        <w:tc>
          <w:tcPr>
            <w:tcW w:type="dxa" w:w="2081"/>
          </w:tcPr>
          <w:p>
            <w:r/>
            <w:r>
              <w:rPr>
                <w:sz w:val="18"/>
              </w:rPr>
              <w:t>0</w:t>
            </w:r>
          </w:p>
        </w:tc>
        <w:tc>
          <w:tcPr>
            <w:tcW w:type="dxa" w:w="2081"/>
          </w:tcPr>
          <w:p>
            <w:r/>
            <w:r>
              <w:rPr>
                <w:sz w:val="18"/>
              </w:rPr>
              <w:t>0</w:t>
            </w:r>
          </w:p>
        </w:tc>
      </w:tr>
      <w:tr>
        <w:tc>
          <w:tcPr>
            <w:tcW w:type="dxa" w:w="2081"/>
          </w:tcPr>
          <w:p>
            <w:r/>
            <w:r>
              <w:rPr>
                <w:sz w:val="18"/>
              </w:rPr>
              <w:t>Corrosión y Protección de Materiales Aeroespaciales</w:t>
            </w:r>
          </w:p>
        </w:tc>
        <w:tc>
          <w:tcPr>
            <w:tcW w:type="dxa" w:w="2081"/>
          </w:tcPr>
          <w:p>
            <w:r/>
            <w:r>
              <w:rPr>
                <w:sz w:val="18"/>
              </w:rPr>
              <w:t>5</w:t>
            </w:r>
          </w:p>
        </w:tc>
        <w:tc>
          <w:tcPr>
            <w:tcW w:type="dxa" w:w="2081"/>
          </w:tcPr>
          <w:p>
            <w:r/>
            <w:r>
              <w:rPr>
                <w:sz w:val="18"/>
              </w:rPr>
              <w:t>0</w:t>
            </w:r>
          </w:p>
        </w:tc>
        <w:tc>
          <w:tcPr>
            <w:tcW w:type="dxa" w:w="2081"/>
          </w:tcPr>
          <w:p>
            <w:r/>
            <w:r>
              <w:rPr>
                <w:sz w:val="18"/>
              </w:rPr>
              <w:t>48</w:t>
            </w:r>
          </w:p>
        </w:tc>
        <w:tc>
          <w:tcPr>
            <w:tcW w:type="dxa" w:w="2081"/>
          </w:tcPr>
          <w:p>
            <w:r/>
            <w:r>
              <w:rPr>
                <w:sz w:val="18"/>
              </w:rPr>
              <w:t>48</w:t>
            </w:r>
          </w:p>
        </w:tc>
        <w:tc>
          <w:tcPr>
            <w:tcW w:type="dxa" w:w="2081"/>
          </w:tcPr>
          <w:p>
            <w:r/>
            <w:r>
              <w:rPr>
                <w:sz w:val="18"/>
              </w:rPr>
              <w:t>0</w:t>
            </w:r>
          </w:p>
        </w:tc>
        <w:tc>
          <w:tcPr>
            <w:tcW w:type="dxa" w:w="2081"/>
          </w:tcPr>
          <w:p>
            <w:r/>
            <w:r>
              <w:rPr>
                <w:sz w:val="18"/>
              </w:rPr>
              <w:t>0</w:t>
            </w:r>
          </w:p>
        </w:tc>
      </w:tr>
      <w:tr>
        <w:tc>
          <w:tcPr>
            <w:tcW w:type="dxa" w:w="2081"/>
          </w:tcPr>
          <w:p>
            <w:r/>
            <w:r>
              <w:rPr>
                <w:sz w:val="18"/>
              </w:rPr>
              <w:t>Cálculo</w:t>
            </w:r>
          </w:p>
        </w:tc>
        <w:tc>
          <w:tcPr>
            <w:tcW w:type="dxa" w:w="2081"/>
          </w:tcPr>
          <w:p>
            <w:r/>
            <w:r>
              <w:rPr>
                <w:sz w:val="18"/>
              </w:rPr>
              <w:t>8</w:t>
            </w:r>
          </w:p>
        </w:tc>
        <w:tc>
          <w:tcPr>
            <w:tcW w:type="dxa" w:w="2081"/>
          </w:tcPr>
          <w:p>
            <w:r/>
            <w:r>
              <w:rPr>
                <w:sz w:val="18"/>
              </w:rPr>
              <w:t>10</w:t>
            </w:r>
          </w:p>
        </w:tc>
        <w:tc>
          <w:tcPr>
            <w:tcW w:type="dxa" w:w="2081"/>
          </w:tcPr>
          <w:p>
            <w:r/>
            <w:r>
              <w:rPr>
                <w:sz w:val="18"/>
              </w:rPr>
              <w:t>56</w:t>
            </w:r>
          </w:p>
        </w:tc>
        <w:tc>
          <w:tcPr>
            <w:tcW w:type="dxa" w:w="2081"/>
          </w:tcPr>
          <w:p>
            <w:r/>
            <w:r>
              <w:rPr>
                <w:sz w:val="18"/>
              </w:rPr>
              <w:t>26</w:t>
            </w:r>
          </w:p>
        </w:tc>
        <w:tc>
          <w:tcPr>
            <w:tcW w:type="dxa" w:w="2081"/>
          </w:tcPr>
          <w:p>
            <w:r/>
            <w:r>
              <w:rPr>
                <w:sz w:val="18"/>
              </w:rPr>
              <w:t>0</w:t>
            </w:r>
          </w:p>
        </w:tc>
        <w:tc>
          <w:tcPr>
            <w:tcW w:type="dxa" w:w="2081"/>
          </w:tcPr>
          <w:p>
            <w:r/>
            <w:r>
              <w:rPr>
                <w:sz w:val="18"/>
              </w:rPr>
              <w:t>0</w:t>
            </w:r>
          </w:p>
        </w:tc>
      </w:tr>
      <w:tr>
        <w:tc>
          <w:tcPr>
            <w:tcW w:type="dxa" w:w="2081"/>
          </w:tcPr>
          <w:p>
            <w:r/>
            <w:r>
              <w:rPr>
                <w:sz w:val="18"/>
              </w:rPr>
              <w:t>Diseño y Fabricación Asistidos por Ordenador</w:t>
            </w:r>
          </w:p>
        </w:tc>
        <w:tc>
          <w:tcPr>
            <w:tcW w:type="dxa" w:w="2081"/>
          </w:tcPr>
          <w:p>
            <w:r/>
            <w:r>
              <w:rPr>
                <w:sz w:val="18"/>
              </w:rPr>
              <w:t>2</w:t>
            </w:r>
          </w:p>
        </w:tc>
        <w:tc>
          <w:tcPr>
            <w:tcW w:type="dxa" w:w="2081"/>
          </w:tcPr>
          <w:p>
            <w:r/>
            <w:r>
              <w:rPr>
                <w:sz w:val="18"/>
              </w:rPr>
              <w:t>2</w:t>
            </w:r>
          </w:p>
        </w:tc>
        <w:tc>
          <w:tcPr>
            <w:tcW w:type="dxa" w:w="2081"/>
          </w:tcPr>
          <w:p>
            <w:r/>
            <w:r>
              <w:rPr>
                <w:sz w:val="18"/>
              </w:rPr>
              <w:t>44</w:t>
            </w:r>
          </w:p>
        </w:tc>
        <w:tc>
          <w:tcPr>
            <w:tcW w:type="dxa" w:w="2081"/>
          </w:tcPr>
          <w:p>
            <w:r/>
            <w:r>
              <w:rPr>
                <w:sz w:val="18"/>
              </w:rPr>
              <w:t>44</w:t>
            </w:r>
          </w:p>
        </w:tc>
        <w:tc>
          <w:tcPr>
            <w:tcW w:type="dxa" w:w="2081"/>
          </w:tcPr>
          <w:p>
            <w:r/>
            <w:r>
              <w:rPr>
                <w:sz w:val="18"/>
              </w:rPr>
              <w:t>2</w:t>
            </w:r>
          </w:p>
        </w:tc>
        <w:tc>
          <w:tcPr>
            <w:tcW w:type="dxa" w:w="2081"/>
          </w:tcPr>
          <w:p>
            <w:r/>
            <w:r>
              <w:rPr>
                <w:sz w:val="18"/>
              </w:rPr>
              <w:t>5</w:t>
            </w:r>
          </w:p>
        </w:tc>
      </w:tr>
      <w:tr>
        <w:tc>
          <w:tcPr>
            <w:tcW w:type="dxa" w:w="2081"/>
          </w:tcPr>
          <w:p>
            <w:r/>
            <w:r>
              <w:rPr>
                <w:sz w:val="18"/>
              </w:rPr>
              <w:t>Elasticidad y Resistencia de Materiales</w:t>
            </w:r>
          </w:p>
        </w:tc>
        <w:tc>
          <w:tcPr>
            <w:tcW w:type="dxa" w:w="2081"/>
          </w:tcPr>
          <w:p>
            <w:r/>
            <w:r>
              <w:rPr>
                <w:sz w:val="18"/>
              </w:rPr>
              <w:t>21</w:t>
            </w:r>
          </w:p>
        </w:tc>
        <w:tc>
          <w:tcPr>
            <w:tcW w:type="dxa" w:w="2081"/>
          </w:tcPr>
          <w:p>
            <w:r/>
            <w:r>
              <w:rPr>
                <w:sz w:val="18"/>
              </w:rPr>
              <w:t>18</w:t>
            </w:r>
          </w:p>
        </w:tc>
        <w:tc>
          <w:tcPr>
            <w:tcW w:type="dxa" w:w="2081"/>
          </w:tcPr>
          <w:p>
            <w:r/>
            <w:r>
              <w:rPr>
                <w:sz w:val="18"/>
              </w:rPr>
              <w:t>53</w:t>
            </w:r>
          </w:p>
        </w:tc>
        <w:tc>
          <w:tcPr>
            <w:tcW w:type="dxa" w:w="2081"/>
          </w:tcPr>
          <w:p>
            <w:r/>
            <w:r>
              <w:rPr>
                <w:sz w:val="18"/>
              </w:rPr>
              <w:t>8</w:t>
            </w:r>
          </w:p>
        </w:tc>
        <w:tc>
          <w:tcPr>
            <w:tcW w:type="dxa" w:w="2081"/>
          </w:tcPr>
          <w:p>
            <w:r/>
            <w:r>
              <w:rPr>
                <w:sz w:val="18"/>
              </w:rPr>
              <w:t>0</w:t>
            </w:r>
          </w:p>
        </w:tc>
        <w:tc>
          <w:tcPr>
            <w:tcW w:type="dxa" w:w="2081"/>
          </w:tcPr>
          <w:p>
            <w:r/>
            <w:r>
              <w:rPr>
                <w:sz w:val="18"/>
              </w:rPr>
              <w:t>0</w:t>
            </w:r>
          </w:p>
        </w:tc>
      </w:tr>
      <w:tr>
        <w:tc>
          <w:tcPr>
            <w:tcW w:type="dxa" w:w="2081"/>
          </w:tcPr>
          <w:p>
            <w:r/>
            <w:r>
              <w:rPr>
                <w:sz w:val="18"/>
              </w:rPr>
              <w:t>Electricidad</w:t>
            </w:r>
          </w:p>
        </w:tc>
        <w:tc>
          <w:tcPr>
            <w:tcW w:type="dxa" w:w="2081"/>
          </w:tcPr>
          <w:p>
            <w:r/>
            <w:r>
              <w:rPr>
                <w:sz w:val="18"/>
              </w:rPr>
              <w:t>5</w:t>
            </w:r>
          </w:p>
        </w:tc>
        <w:tc>
          <w:tcPr>
            <w:tcW w:type="dxa" w:w="2081"/>
          </w:tcPr>
          <w:p>
            <w:r/>
            <w:r>
              <w:rPr>
                <w:sz w:val="18"/>
              </w:rPr>
              <w:t>6</w:t>
            </w:r>
          </w:p>
        </w:tc>
        <w:tc>
          <w:tcPr>
            <w:tcW w:type="dxa" w:w="2081"/>
          </w:tcPr>
          <w:p>
            <w:r/>
            <w:r>
              <w:rPr>
                <w:sz w:val="18"/>
              </w:rPr>
              <w:t>48</w:t>
            </w:r>
          </w:p>
        </w:tc>
        <w:tc>
          <w:tcPr>
            <w:tcW w:type="dxa" w:w="2081"/>
          </w:tcPr>
          <w:p>
            <w:r/>
            <w:r>
              <w:rPr>
                <w:sz w:val="18"/>
              </w:rPr>
              <w:t>33</w:t>
            </w:r>
          </w:p>
        </w:tc>
        <w:tc>
          <w:tcPr>
            <w:tcW w:type="dxa" w:w="2081"/>
          </w:tcPr>
          <w:p>
            <w:r/>
            <w:r>
              <w:rPr>
                <w:sz w:val="18"/>
              </w:rPr>
              <w:t>5</w:t>
            </w:r>
          </w:p>
        </w:tc>
        <w:tc>
          <w:tcPr>
            <w:tcW w:type="dxa" w:w="2081"/>
          </w:tcPr>
          <w:p>
            <w:r/>
            <w:r>
              <w:rPr>
                <w:sz w:val="18"/>
              </w:rPr>
              <w:t>3</w:t>
            </w:r>
          </w:p>
        </w:tc>
      </w:tr>
      <w:tr>
        <w:tc>
          <w:tcPr>
            <w:tcW w:type="dxa" w:w="2081"/>
          </w:tcPr>
          <w:p>
            <w:r/>
            <w:r>
              <w:rPr>
                <w:sz w:val="18"/>
              </w:rPr>
              <w:t>Electrónica</w:t>
            </w:r>
          </w:p>
        </w:tc>
        <w:tc>
          <w:tcPr>
            <w:tcW w:type="dxa" w:w="2081"/>
          </w:tcPr>
          <w:p>
            <w:r/>
            <w:r>
              <w:rPr>
                <w:sz w:val="18"/>
              </w:rPr>
              <w:t>8</w:t>
            </w:r>
          </w:p>
        </w:tc>
        <w:tc>
          <w:tcPr>
            <w:tcW w:type="dxa" w:w="2081"/>
          </w:tcPr>
          <w:p>
            <w:r/>
            <w:r>
              <w:rPr>
                <w:sz w:val="18"/>
              </w:rPr>
              <w:t>19</w:t>
            </w:r>
          </w:p>
        </w:tc>
        <w:tc>
          <w:tcPr>
            <w:tcW w:type="dxa" w:w="2081"/>
          </w:tcPr>
          <w:p>
            <w:r/>
            <w:r>
              <w:rPr>
                <w:sz w:val="18"/>
              </w:rPr>
              <w:t>51</w:t>
            </w:r>
          </w:p>
        </w:tc>
        <w:tc>
          <w:tcPr>
            <w:tcW w:type="dxa" w:w="2081"/>
          </w:tcPr>
          <w:p>
            <w:r/>
            <w:r>
              <w:rPr>
                <w:sz w:val="18"/>
              </w:rPr>
              <w:t>22</w:t>
            </w:r>
          </w:p>
        </w:tc>
        <w:tc>
          <w:tcPr>
            <w:tcW w:type="dxa" w:w="2081"/>
          </w:tcPr>
          <w:p>
            <w:r/>
            <w:r>
              <w:rPr>
                <w:sz w:val="18"/>
              </w:rPr>
              <w:t>0</w:t>
            </w:r>
          </w:p>
        </w:tc>
        <w:tc>
          <w:tcPr>
            <w:tcW w:type="dxa" w:w="2081"/>
          </w:tcPr>
          <w:p>
            <w:r/>
            <w:r>
              <w:rPr>
                <w:sz w:val="18"/>
              </w:rPr>
              <w:t>0</w:t>
            </w:r>
          </w:p>
        </w:tc>
      </w:tr>
      <w:tr>
        <w:tc>
          <w:tcPr>
            <w:tcW w:type="dxa" w:w="2081"/>
          </w:tcPr>
          <w:p>
            <w:r/>
            <w:r>
              <w:rPr>
                <w:sz w:val="18"/>
              </w:rPr>
              <w:t>Elementos Avanzados de Diseño Aeronáutico</w:t>
            </w:r>
          </w:p>
        </w:tc>
        <w:tc>
          <w:tcPr>
            <w:tcW w:type="dxa" w:w="2081"/>
          </w:tcPr>
          <w:p>
            <w:r/>
            <w:r>
              <w:rPr>
                <w:sz w:val="18"/>
              </w:rPr>
              <w:t>23</w:t>
            </w:r>
          </w:p>
        </w:tc>
        <w:tc>
          <w:tcPr>
            <w:tcW w:type="dxa" w:w="2081"/>
          </w:tcPr>
          <w:p>
            <w:r/>
            <w:r>
              <w:rPr>
                <w:sz w:val="18"/>
              </w:rPr>
              <w:t>0</w:t>
            </w:r>
          </w:p>
        </w:tc>
        <w:tc>
          <w:tcPr>
            <w:tcW w:type="dxa" w:w="2081"/>
          </w:tcPr>
          <w:p>
            <w:r/>
            <w:r>
              <w:rPr>
                <w:sz w:val="18"/>
              </w:rPr>
              <w:t>23</w:t>
            </w:r>
          </w:p>
        </w:tc>
        <w:tc>
          <w:tcPr>
            <w:tcW w:type="dxa" w:w="2081"/>
          </w:tcPr>
          <w:p>
            <w:r/>
            <w:r>
              <w:rPr>
                <w:sz w:val="18"/>
              </w:rPr>
              <w:t>38</w:t>
            </w:r>
          </w:p>
        </w:tc>
        <w:tc>
          <w:tcPr>
            <w:tcW w:type="dxa" w:w="2081"/>
          </w:tcPr>
          <w:p>
            <w:r/>
            <w:r>
              <w:rPr>
                <w:sz w:val="18"/>
              </w:rPr>
              <w:t>8</w:t>
            </w:r>
          </w:p>
        </w:tc>
        <w:tc>
          <w:tcPr>
            <w:tcW w:type="dxa" w:w="2081"/>
          </w:tcPr>
          <w:p>
            <w:r/>
            <w:r>
              <w:rPr>
                <w:sz w:val="18"/>
              </w:rPr>
              <w:t>8</w:t>
            </w:r>
          </w:p>
        </w:tc>
      </w:tr>
      <w:tr>
        <w:tc>
          <w:tcPr>
            <w:tcW w:type="dxa" w:w="2081"/>
          </w:tcPr>
          <w:p>
            <w:r/>
            <w:r>
              <w:rPr>
                <w:sz w:val="18"/>
              </w:rPr>
              <w:t>Elementos Estructurales Aeronáuticos</w:t>
            </w:r>
          </w:p>
        </w:tc>
        <w:tc>
          <w:tcPr>
            <w:tcW w:type="dxa" w:w="2081"/>
          </w:tcPr>
          <w:p>
            <w:r/>
            <w:r>
              <w:rPr>
                <w:sz w:val="18"/>
              </w:rPr>
              <w:t>25</w:t>
            </w:r>
          </w:p>
        </w:tc>
        <w:tc>
          <w:tcPr>
            <w:tcW w:type="dxa" w:w="2081"/>
          </w:tcPr>
          <w:p>
            <w:r/>
            <w:r>
              <w:rPr>
                <w:sz w:val="18"/>
              </w:rPr>
              <w:t>28</w:t>
            </w:r>
          </w:p>
        </w:tc>
        <w:tc>
          <w:tcPr>
            <w:tcW w:type="dxa" w:w="2081"/>
          </w:tcPr>
          <w:p>
            <w:r/>
            <w:r>
              <w:rPr>
                <w:sz w:val="18"/>
              </w:rPr>
              <w:t>38</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Equipos y Sistemas de Control Aeroespaciales</w:t>
            </w:r>
          </w:p>
        </w:tc>
        <w:tc>
          <w:tcPr>
            <w:tcW w:type="dxa" w:w="2081"/>
          </w:tcPr>
          <w:p>
            <w:r/>
            <w:r>
              <w:rPr>
                <w:sz w:val="18"/>
              </w:rPr>
              <w:t>7</w:t>
            </w:r>
          </w:p>
        </w:tc>
        <w:tc>
          <w:tcPr>
            <w:tcW w:type="dxa" w:w="2081"/>
          </w:tcPr>
          <w:p>
            <w:r/>
            <w:r>
              <w:rPr>
                <w:sz w:val="18"/>
              </w:rPr>
              <w:t>5</w:t>
            </w:r>
          </w:p>
        </w:tc>
        <w:tc>
          <w:tcPr>
            <w:tcW w:type="dxa" w:w="2081"/>
          </w:tcPr>
          <w:p>
            <w:r/>
            <w:r>
              <w:rPr>
                <w:sz w:val="18"/>
              </w:rPr>
              <w:t>65</w:t>
            </w:r>
          </w:p>
        </w:tc>
        <w:tc>
          <w:tcPr>
            <w:tcW w:type="dxa" w:w="2081"/>
          </w:tcPr>
          <w:p>
            <w:r/>
            <w:r>
              <w:rPr>
                <w:sz w:val="18"/>
              </w:rPr>
              <w:t>23</w:t>
            </w:r>
          </w:p>
        </w:tc>
        <w:tc>
          <w:tcPr>
            <w:tcW w:type="dxa" w:w="2081"/>
          </w:tcPr>
          <w:p>
            <w:r/>
            <w:r>
              <w:rPr>
                <w:sz w:val="18"/>
              </w:rPr>
              <w:t>0</w:t>
            </w:r>
          </w:p>
        </w:tc>
        <w:tc>
          <w:tcPr>
            <w:tcW w:type="dxa" w:w="2081"/>
          </w:tcPr>
          <w:p>
            <w:r/>
            <w:r>
              <w:rPr>
                <w:sz w:val="18"/>
              </w:rPr>
              <w:t>0</w:t>
            </w:r>
          </w:p>
        </w:tc>
      </w:tr>
      <w:tr>
        <w:tc>
          <w:tcPr>
            <w:tcW w:type="dxa" w:w="2081"/>
          </w:tcPr>
          <w:p>
            <w:r/>
            <w:r>
              <w:rPr>
                <w:sz w:val="18"/>
              </w:rPr>
              <w:t>Estadística</w:t>
            </w:r>
          </w:p>
        </w:tc>
        <w:tc>
          <w:tcPr>
            <w:tcW w:type="dxa" w:w="2081"/>
          </w:tcPr>
          <w:p>
            <w:r/>
            <w:r>
              <w:rPr>
                <w:sz w:val="18"/>
              </w:rPr>
              <w:t>5</w:t>
            </w:r>
          </w:p>
        </w:tc>
        <w:tc>
          <w:tcPr>
            <w:tcW w:type="dxa" w:w="2081"/>
          </w:tcPr>
          <w:p>
            <w:r/>
            <w:r>
              <w:rPr>
                <w:sz w:val="18"/>
              </w:rPr>
              <w:t>0</w:t>
            </w:r>
          </w:p>
        </w:tc>
        <w:tc>
          <w:tcPr>
            <w:tcW w:type="dxa" w:w="2081"/>
          </w:tcPr>
          <w:p>
            <w:r/>
            <w:r>
              <w:rPr>
                <w:sz w:val="18"/>
              </w:rPr>
              <w:t>32</w:t>
            </w:r>
          </w:p>
        </w:tc>
        <w:tc>
          <w:tcPr>
            <w:tcW w:type="dxa" w:w="2081"/>
          </w:tcPr>
          <w:p>
            <w:r/>
            <w:r>
              <w:rPr>
                <w:sz w:val="18"/>
              </w:rPr>
              <w:t>49</w:t>
            </w:r>
          </w:p>
        </w:tc>
        <w:tc>
          <w:tcPr>
            <w:tcW w:type="dxa" w:w="2081"/>
          </w:tcPr>
          <w:p>
            <w:r/>
            <w:r>
              <w:rPr>
                <w:sz w:val="18"/>
              </w:rPr>
              <w:t>8</w:t>
            </w:r>
          </w:p>
        </w:tc>
        <w:tc>
          <w:tcPr>
            <w:tcW w:type="dxa" w:w="2081"/>
          </w:tcPr>
          <w:p>
            <w:r/>
            <w:r>
              <w:rPr>
                <w:sz w:val="18"/>
              </w:rPr>
              <w:t>5</w:t>
            </w:r>
          </w:p>
        </w:tc>
      </w:tr>
      <w:tr>
        <w:tc>
          <w:tcPr>
            <w:tcW w:type="dxa" w:w="2081"/>
          </w:tcPr>
          <w:p>
            <w:r/>
            <w:r>
              <w:rPr>
                <w:sz w:val="18"/>
              </w:rPr>
              <w:t>Estrategias de Seguridad y Medioambiente</w:t>
            </w:r>
          </w:p>
        </w:tc>
        <w:tc>
          <w:tcPr>
            <w:tcW w:type="dxa" w:w="2081"/>
          </w:tcPr>
          <w:p>
            <w:r/>
            <w:r>
              <w:rPr>
                <w:sz w:val="18"/>
              </w:rPr>
              <w:t>0</w:t>
            </w:r>
          </w:p>
        </w:tc>
        <w:tc>
          <w:tcPr>
            <w:tcW w:type="dxa" w:w="2081"/>
          </w:tcPr>
          <w:p>
            <w:r/>
            <w:r>
              <w:rPr>
                <w:sz w:val="18"/>
              </w:rPr>
              <w:t>0</w:t>
            </w:r>
          </w:p>
        </w:tc>
        <w:tc>
          <w:tcPr>
            <w:tcW w:type="dxa" w:w="2081"/>
          </w:tcPr>
          <w:p>
            <w:r/>
            <w:r>
              <w:rPr>
                <w:sz w:val="18"/>
              </w:rPr>
              <w:t>13</w:t>
            </w:r>
          </w:p>
        </w:tc>
        <w:tc>
          <w:tcPr>
            <w:tcW w:type="dxa" w:w="2081"/>
          </w:tcPr>
          <w:p>
            <w:r/>
            <w:r>
              <w:rPr>
                <w:sz w:val="18"/>
              </w:rPr>
              <w:t>88</w:t>
            </w:r>
          </w:p>
        </w:tc>
        <w:tc>
          <w:tcPr>
            <w:tcW w:type="dxa" w:w="2081"/>
          </w:tcPr>
          <w:p>
            <w:r/>
            <w:r>
              <w:rPr>
                <w:sz w:val="18"/>
              </w:rPr>
              <w:t>0</w:t>
            </w:r>
          </w:p>
        </w:tc>
        <w:tc>
          <w:tcPr>
            <w:tcW w:type="dxa" w:w="2081"/>
          </w:tcPr>
          <w:p>
            <w:r/>
            <w:r>
              <w:rPr>
                <w:sz w:val="18"/>
              </w:rPr>
              <w:t>0</w:t>
            </w:r>
          </w:p>
        </w:tc>
      </w:tr>
      <w:tr>
        <w:tc>
          <w:tcPr>
            <w:tcW w:type="dxa" w:w="2081"/>
          </w:tcPr>
          <w:p>
            <w:r/>
            <w:r>
              <w:rPr>
                <w:sz w:val="18"/>
              </w:rPr>
              <w:t>Estructuras Aeronáuticas</w:t>
            </w:r>
          </w:p>
        </w:tc>
        <w:tc>
          <w:tcPr>
            <w:tcW w:type="dxa" w:w="2081"/>
          </w:tcPr>
          <w:p>
            <w:r/>
            <w:r>
              <w:rPr>
                <w:sz w:val="18"/>
              </w:rPr>
              <w:t>24</w:t>
            </w:r>
          </w:p>
        </w:tc>
        <w:tc>
          <w:tcPr>
            <w:tcW w:type="dxa" w:w="2081"/>
          </w:tcPr>
          <w:p>
            <w:r/>
            <w:r>
              <w:rPr>
                <w:sz w:val="18"/>
              </w:rPr>
              <w:t>24</w:t>
            </w:r>
          </w:p>
        </w:tc>
        <w:tc>
          <w:tcPr>
            <w:tcW w:type="dxa" w:w="2081"/>
          </w:tcPr>
          <w:p>
            <w:r/>
            <w:r>
              <w:rPr>
                <w:sz w:val="18"/>
              </w:rPr>
              <w:t>48</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Expresión Gráfica y Diseño Asistido</w:t>
            </w:r>
          </w:p>
        </w:tc>
        <w:tc>
          <w:tcPr>
            <w:tcW w:type="dxa" w:w="2081"/>
          </w:tcPr>
          <w:p>
            <w:r/>
            <w:r>
              <w:rPr>
                <w:sz w:val="18"/>
              </w:rPr>
              <w:t>40</w:t>
            </w:r>
          </w:p>
        </w:tc>
        <w:tc>
          <w:tcPr>
            <w:tcW w:type="dxa" w:w="2081"/>
          </w:tcPr>
          <w:p>
            <w:r/>
            <w:r>
              <w:rPr>
                <w:sz w:val="18"/>
              </w:rPr>
              <w:t>20</w:t>
            </w:r>
          </w:p>
        </w:tc>
        <w:tc>
          <w:tcPr>
            <w:tcW w:type="dxa" w:w="2081"/>
          </w:tcPr>
          <w:p>
            <w:r/>
            <w:r>
              <w:rPr>
                <w:sz w:val="18"/>
              </w:rPr>
              <w:t>36</w:t>
            </w:r>
          </w:p>
        </w:tc>
        <w:tc>
          <w:tcPr>
            <w:tcW w:type="dxa" w:w="2081"/>
          </w:tcPr>
          <w:p>
            <w:r/>
            <w:r>
              <w:rPr>
                <w:sz w:val="18"/>
              </w:rPr>
              <w:t>4</w:t>
            </w:r>
          </w:p>
        </w:tc>
        <w:tc>
          <w:tcPr>
            <w:tcW w:type="dxa" w:w="2081"/>
          </w:tcPr>
          <w:p>
            <w:r/>
            <w:r>
              <w:rPr>
                <w:sz w:val="18"/>
              </w:rPr>
              <w:t>1</w:t>
            </w:r>
          </w:p>
        </w:tc>
        <w:tc>
          <w:tcPr>
            <w:tcW w:type="dxa" w:w="2081"/>
          </w:tcPr>
          <w:p>
            <w:r/>
            <w:r>
              <w:rPr>
                <w:sz w:val="18"/>
              </w:rPr>
              <w:t>0</w:t>
            </w:r>
          </w:p>
        </w:tc>
      </w:tr>
      <w:tr>
        <w:tc>
          <w:tcPr>
            <w:tcW w:type="dxa" w:w="2081"/>
          </w:tcPr>
          <w:p>
            <w:r/>
            <w:r>
              <w:rPr>
                <w:sz w:val="18"/>
              </w:rPr>
              <w:t>Fundamentos de Informática</w:t>
            </w:r>
          </w:p>
        </w:tc>
        <w:tc>
          <w:tcPr>
            <w:tcW w:type="dxa" w:w="2081"/>
          </w:tcPr>
          <w:p>
            <w:r/>
            <w:r>
              <w:rPr>
                <w:sz w:val="18"/>
              </w:rPr>
              <w:t>23</w:t>
            </w:r>
          </w:p>
        </w:tc>
        <w:tc>
          <w:tcPr>
            <w:tcW w:type="dxa" w:w="2081"/>
          </w:tcPr>
          <w:p>
            <w:r/>
            <w:r>
              <w:rPr>
                <w:sz w:val="18"/>
              </w:rPr>
              <w:t>34</w:t>
            </w:r>
          </w:p>
        </w:tc>
        <w:tc>
          <w:tcPr>
            <w:tcW w:type="dxa" w:w="2081"/>
          </w:tcPr>
          <w:p>
            <w:r/>
            <w:r>
              <w:rPr>
                <w:sz w:val="18"/>
              </w:rPr>
              <w:t>33</w:t>
            </w:r>
          </w:p>
        </w:tc>
        <w:tc>
          <w:tcPr>
            <w:tcW w:type="dxa" w:w="2081"/>
          </w:tcPr>
          <w:p>
            <w:r/>
            <w:r>
              <w:rPr>
                <w:sz w:val="18"/>
              </w:rPr>
              <w:t>10</w:t>
            </w:r>
          </w:p>
        </w:tc>
        <w:tc>
          <w:tcPr>
            <w:tcW w:type="dxa" w:w="2081"/>
          </w:tcPr>
          <w:p>
            <w:r/>
            <w:r>
              <w:rPr>
                <w:sz w:val="18"/>
              </w:rPr>
              <w:t>0</w:t>
            </w:r>
          </w:p>
        </w:tc>
        <w:tc>
          <w:tcPr>
            <w:tcW w:type="dxa" w:w="2081"/>
          </w:tcPr>
          <w:p>
            <w:r/>
            <w:r>
              <w:rPr>
                <w:sz w:val="18"/>
              </w:rPr>
              <w:t>0</w:t>
            </w:r>
          </w:p>
        </w:tc>
      </w:tr>
      <w:tr>
        <w:tc>
          <w:tcPr>
            <w:tcW w:type="dxa" w:w="2081"/>
          </w:tcPr>
          <w:p>
            <w:r/>
            <w:r>
              <w:rPr>
                <w:sz w:val="18"/>
              </w:rPr>
              <w:t>Fundamentos de Propulsión</w:t>
            </w:r>
          </w:p>
        </w:tc>
        <w:tc>
          <w:tcPr>
            <w:tcW w:type="dxa" w:w="2081"/>
          </w:tcPr>
          <w:p>
            <w:r/>
            <w:r>
              <w:rPr>
                <w:sz w:val="18"/>
              </w:rPr>
              <w:t>9</w:t>
            </w:r>
          </w:p>
        </w:tc>
        <w:tc>
          <w:tcPr>
            <w:tcW w:type="dxa" w:w="2081"/>
          </w:tcPr>
          <w:p>
            <w:r/>
            <w:r>
              <w:rPr>
                <w:sz w:val="18"/>
              </w:rPr>
              <w:t>9</w:t>
            </w:r>
          </w:p>
        </w:tc>
        <w:tc>
          <w:tcPr>
            <w:tcW w:type="dxa" w:w="2081"/>
          </w:tcPr>
          <w:p>
            <w:r/>
            <w:r>
              <w:rPr>
                <w:sz w:val="18"/>
              </w:rPr>
              <w:t>68</w:t>
            </w:r>
          </w:p>
        </w:tc>
        <w:tc>
          <w:tcPr>
            <w:tcW w:type="dxa" w:w="2081"/>
          </w:tcPr>
          <w:p>
            <w:r/>
            <w:r>
              <w:rPr>
                <w:sz w:val="18"/>
              </w:rPr>
              <w:t>12</w:t>
            </w:r>
          </w:p>
        </w:tc>
        <w:tc>
          <w:tcPr>
            <w:tcW w:type="dxa" w:w="2081"/>
          </w:tcPr>
          <w:p>
            <w:r/>
            <w:r>
              <w:rPr>
                <w:sz w:val="18"/>
              </w:rPr>
              <w:t>0</w:t>
            </w:r>
          </w:p>
        </w:tc>
        <w:tc>
          <w:tcPr>
            <w:tcW w:type="dxa" w:w="2081"/>
          </w:tcPr>
          <w:p>
            <w:r/>
            <w:r>
              <w:rPr>
                <w:sz w:val="18"/>
              </w:rPr>
              <w:t>3</w:t>
            </w:r>
          </w:p>
        </w:tc>
      </w:tr>
      <w:tr>
        <w:tc>
          <w:tcPr>
            <w:tcW w:type="dxa" w:w="2081"/>
          </w:tcPr>
          <w:p>
            <w:r/>
            <w:r>
              <w:rPr>
                <w:sz w:val="18"/>
              </w:rPr>
              <w:t>Física I</w:t>
            </w:r>
          </w:p>
        </w:tc>
        <w:tc>
          <w:tcPr>
            <w:tcW w:type="dxa" w:w="2081"/>
          </w:tcPr>
          <w:p>
            <w:r/>
            <w:r>
              <w:rPr>
                <w:sz w:val="18"/>
              </w:rPr>
              <w:t>9</w:t>
            </w:r>
          </w:p>
        </w:tc>
        <w:tc>
          <w:tcPr>
            <w:tcW w:type="dxa" w:w="2081"/>
          </w:tcPr>
          <w:p>
            <w:r/>
            <w:r>
              <w:rPr>
                <w:sz w:val="18"/>
              </w:rPr>
              <w:t>8</w:t>
            </w:r>
          </w:p>
        </w:tc>
        <w:tc>
          <w:tcPr>
            <w:tcW w:type="dxa" w:w="2081"/>
          </w:tcPr>
          <w:p>
            <w:r/>
            <w:r>
              <w:rPr>
                <w:sz w:val="18"/>
              </w:rPr>
              <w:t>58</w:t>
            </w:r>
          </w:p>
        </w:tc>
        <w:tc>
          <w:tcPr>
            <w:tcW w:type="dxa" w:w="2081"/>
          </w:tcPr>
          <w:p>
            <w:r/>
            <w:r>
              <w:rPr>
                <w:sz w:val="18"/>
              </w:rPr>
              <w:t>23</w:t>
            </w:r>
          </w:p>
        </w:tc>
        <w:tc>
          <w:tcPr>
            <w:tcW w:type="dxa" w:w="2081"/>
          </w:tcPr>
          <w:p>
            <w:r/>
            <w:r>
              <w:rPr>
                <w:sz w:val="18"/>
              </w:rPr>
              <w:t>1</w:t>
            </w:r>
          </w:p>
        </w:tc>
        <w:tc>
          <w:tcPr>
            <w:tcW w:type="dxa" w:w="2081"/>
          </w:tcPr>
          <w:p>
            <w:r/>
            <w:r>
              <w:rPr>
                <w:sz w:val="18"/>
              </w:rPr>
              <w:t>1</w:t>
            </w:r>
          </w:p>
        </w:tc>
      </w:tr>
      <w:tr>
        <w:tc>
          <w:tcPr>
            <w:tcW w:type="dxa" w:w="2081"/>
          </w:tcPr>
          <w:p>
            <w:r/>
            <w:r>
              <w:rPr>
                <w:sz w:val="18"/>
              </w:rPr>
              <w:t>Física II</w:t>
            </w:r>
          </w:p>
        </w:tc>
        <w:tc>
          <w:tcPr>
            <w:tcW w:type="dxa" w:w="2081"/>
          </w:tcPr>
          <w:p>
            <w:r/>
            <w:r>
              <w:rPr>
                <w:sz w:val="18"/>
              </w:rPr>
              <w:t>17</w:t>
            </w:r>
          </w:p>
        </w:tc>
        <w:tc>
          <w:tcPr>
            <w:tcW w:type="dxa" w:w="2081"/>
          </w:tcPr>
          <w:p>
            <w:r/>
            <w:r>
              <w:rPr>
                <w:sz w:val="18"/>
              </w:rPr>
              <w:t>32</w:t>
            </w:r>
          </w:p>
        </w:tc>
        <w:tc>
          <w:tcPr>
            <w:tcW w:type="dxa" w:w="2081"/>
          </w:tcPr>
          <w:p>
            <w:r/>
            <w:r>
              <w:rPr>
                <w:sz w:val="18"/>
              </w:rPr>
              <w:t>46</w:t>
            </w:r>
          </w:p>
        </w:tc>
        <w:tc>
          <w:tcPr>
            <w:tcW w:type="dxa" w:w="2081"/>
          </w:tcPr>
          <w:p>
            <w:r/>
            <w:r>
              <w:rPr>
                <w:sz w:val="18"/>
              </w:rPr>
              <w:t>5</w:t>
            </w:r>
          </w:p>
        </w:tc>
        <w:tc>
          <w:tcPr>
            <w:tcW w:type="dxa" w:w="2081"/>
          </w:tcPr>
          <w:p>
            <w:r/>
            <w:r>
              <w:rPr>
                <w:sz w:val="18"/>
              </w:rPr>
              <w:t>0</w:t>
            </w:r>
          </w:p>
        </w:tc>
        <w:tc>
          <w:tcPr>
            <w:tcW w:type="dxa" w:w="2081"/>
          </w:tcPr>
          <w:p>
            <w:r/>
            <w:r>
              <w:rPr>
                <w:sz w:val="18"/>
              </w:rPr>
              <w:t>0</w:t>
            </w:r>
          </w:p>
        </w:tc>
      </w:tr>
      <w:tr>
        <w:tc>
          <w:tcPr>
            <w:tcW w:type="dxa" w:w="2081"/>
          </w:tcPr>
          <w:p>
            <w:r/>
            <w:r>
              <w:rPr>
                <w:sz w:val="18"/>
              </w:rPr>
              <w:t>Ingeniería de Fabricación</w:t>
            </w:r>
          </w:p>
        </w:tc>
        <w:tc>
          <w:tcPr>
            <w:tcW w:type="dxa" w:w="2081"/>
          </w:tcPr>
          <w:p>
            <w:r/>
            <w:r>
              <w:rPr>
                <w:sz w:val="18"/>
              </w:rPr>
              <w:t>11</w:t>
            </w:r>
          </w:p>
        </w:tc>
        <w:tc>
          <w:tcPr>
            <w:tcW w:type="dxa" w:w="2081"/>
          </w:tcPr>
          <w:p>
            <w:r/>
            <w:r>
              <w:rPr>
                <w:sz w:val="18"/>
              </w:rPr>
              <w:t>17</w:t>
            </w:r>
          </w:p>
        </w:tc>
        <w:tc>
          <w:tcPr>
            <w:tcW w:type="dxa" w:w="2081"/>
          </w:tcPr>
          <w:p>
            <w:r/>
            <w:r>
              <w:rPr>
                <w:sz w:val="18"/>
              </w:rPr>
              <w:t>56</w:t>
            </w:r>
          </w:p>
        </w:tc>
        <w:tc>
          <w:tcPr>
            <w:tcW w:type="dxa" w:w="2081"/>
          </w:tcPr>
          <w:p>
            <w:r/>
            <w:r>
              <w:rPr>
                <w:sz w:val="18"/>
              </w:rPr>
              <w:t>15</w:t>
            </w:r>
          </w:p>
        </w:tc>
        <w:tc>
          <w:tcPr>
            <w:tcW w:type="dxa" w:w="2081"/>
          </w:tcPr>
          <w:p>
            <w:r/>
            <w:r>
              <w:rPr>
                <w:sz w:val="18"/>
              </w:rPr>
              <w:t>1</w:t>
            </w:r>
          </w:p>
        </w:tc>
        <w:tc>
          <w:tcPr>
            <w:tcW w:type="dxa" w:w="2081"/>
          </w:tcPr>
          <w:p>
            <w:r/>
            <w:r>
              <w:rPr>
                <w:sz w:val="18"/>
              </w:rPr>
              <w:t>0</w:t>
            </w:r>
          </w:p>
        </w:tc>
      </w:tr>
      <w:tr>
        <w:tc>
          <w:tcPr>
            <w:tcW w:type="dxa" w:w="2081"/>
          </w:tcPr>
          <w:p>
            <w:r/>
            <w:r>
              <w:rPr>
                <w:sz w:val="18"/>
              </w:rPr>
              <w:t>Ingeniería de la Calidad en Entornos Aeronáuticos</w:t>
            </w:r>
          </w:p>
        </w:tc>
        <w:tc>
          <w:tcPr>
            <w:tcW w:type="dxa" w:w="2081"/>
          </w:tcPr>
          <w:p>
            <w:r/>
            <w:r>
              <w:rPr>
                <w:sz w:val="18"/>
              </w:rPr>
              <w:t>3</w:t>
            </w:r>
          </w:p>
        </w:tc>
        <w:tc>
          <w:tcPr>
            <w:tcW w:type="dxa" w:w="2081"/>
          </w:tcPr>
          <w:p>
            <w:r/>
            <w:r>
              <w:rPr>
                <w:sz w:val="18"/>
              </w:rPr>
              <w:t>0</w:t>
            </w:r>
          </w:p>
        </w:tc>
        <w:tc>
          <w:tcPr>
            <w:tcW w:type="dxa" w:w="2081"/>
          </w:tcPr>
          <w:p>
            <w:r/>
            <w:r>
              <w:rPr>
                <w:sz w:val="18"/>
              </w:rPr>
              <w:t>53</w:t>
            </w:r>
          </w:p>
        </w:tc>
        <w:tc>
          <w:tcPr>
            <w:tcW w:type="dxa" w:w="2081"/>
          </w:tcPr>
          <w:p>
            <w:r/>
            <w:r>
              <w:rPr>
                <w:sz w:val="18"/>
              </w:rPr>
              <w:t>34</w:t>
            </w:r>
          </w:p>
        </w:tc>
        <w:tc>
          <w:tcPr>
            <w:tcW w:type="dxa" w:w="2081"/>
          </w:tcPr>
          <w:p>
            <w:r/>
            <w:r>
              <w:rPr>
                <w:sz w:val="18"/>
              </w:rPr>
              <w:t>9</w:t>
            </w:r>
          </w:p>
        </w:tc>
        <w:tc>
          <w:tcPr>
            <w:tcW w:type="dxa" w:w="2081"/>
          </w:tcPr>
          <w:p>
            <w:r/>
            <w:r>
              <w:rPr>
                <w:sz w:val="18"/>
              </w:rPr>
              <w:t>0</w:t>
            </w:r>
          </w:p>
        </w:tc>
      </w:tr>
      <w:tr>
        <w:tc>
          <w:tcPr>
            <w:tcW w:type="dxa" w:w="2081"/>
          </w:tcPr>
          <w:p>
            <w:r/>
            <w:r>
              <w:rPr>
                <w:sz w:val="18"/>
              </w:rPr>
              <w:t>Inglés para Ingenieros</w:t>
            </w:r>
          </w:p>
        </w:tc>
        <w:tc>
          <w:tcPr>
            <w:tcW w:type="dxa" w:w="2081"/>
          </w:tcPr>
          <w:p>
            <w:r/>
            <w:r>
              <w:rPr>
                <w:sz w:val="18"/>
              </w:rPr>
              <w:t>0</w:t>
            </w:r>
          </w:p>
        </w:tc>
        <w:tc>
          <w:tcPr>
            <w:tcW w:type="dxa" w:w="2081"/>
          </w:tcPr>
          <w:p>
            <w:r/>
            <w:r>
              <w:rPr>
                <w:sz w:val="18"/>
              </w:rPr>
              <w:t>0</w:t>
            </w:r>
          </w:p>
        </w:tc>
        <w:tc>
          <w:tcPr>
            <w:tcW w:type="dxa" w:w="2081"/>
          </w:tcPr>
          <w:p>
            <w:r/>
            <w:r>
              <w:rPr>
                <w:sz w:val="18"/>
              </w:rPr>
              <w:t>29</w:t>
            </w:r>
          </w:p>
        </w:tc>
        <w:tc>
          <w:tcPr>
            <w:tcW w:type="dxa" w:w="2081"/>
          </w:tcPr>
          <w:p>
            <w:r/>
            <w:r>
              <w:rPr>
                <w:sz w:val="18"/>
              </w:rPr>
              <w:t>47</w:t>
            </w:r>
          </w:p>
        </w:tc>
        <w:tc>
          <w:tcPr>
            <w:tcW w:type="dxa" w:w="2081"/>
          </w:tcPr>
          <w:p>
            <w:r/>
            <w:r>
              <w:rPr>
                <w:sz w:val="18"/>
              </w:rPr>
              <w:t>18</w:t>
            </w:r>
          </w:p>
        </w:tc>
        <w:tc>
          <w:tcPr>
            <w:tcW w:type="dxa" w:w="2081"/>
          </w:tcPr>
          <w:p>
            <w:r/>
            <w:r>
              <w:rPr>
                <w:sz w:val="18"/>
              </w:rPr>
              <w:t>6</w:t>
            </w:r>
          </w:p>
        </w:tc>
      </w:tr>
      <w:tr>
        <w:tc>
          <w:tcPr>
            <w:tcW w:type="dxa" w:w="2081"/>
          </w:tcPr>
          <w:p>
            <w:r/>
            <w:r>
              <w:rPr>
                <w:sz w:val="18"/>
              </w:rPr>
              <w:t>Introducción a la Ingeniería Aeroespacial</w:t>
            </w:r>
          </w:p>
        </w:tc>
        <w:tc>
          <w:tcPr>
            <w:tcW w:type="dxa" w:w="2081"/>
          </w:tcPr>
          <w:p>
            <w:r/>
            <w:r>
              <w:rPr>
                <w:sz w:val="18"/>
              </w:rPr>
              <w:t>14</w:t>
            </w:r>
          </w:p>
        </w:tc>
        <w:tc>
          <w:tcPr>
            <w:tcW w:type="dxa" w:w="2081"/>
          </w:tcPr>
          <w:p>
            <w:r/>
            <w:r>
              <w:rPr>
                <w:sz w:val="18"/>
              </w:rPr>
              <w:t>8</w:t>
            </w:r>
          </w:p>
        </w:tc>
        <w:tc>
          <w:tcPr>
            <w:tcW w:type="dxa" w:w="2081"/>
          </w:tcPr>
          <w:p>
            <w:r/>
            <w:r>
              <w:rPr>
                <w:sz w:val="18"/>
              </w:rPr>
              <w:t>58</w:t>
            </w:r>
          </w:p>
        </w:tc>
        <w:tc>
          <w:tcPr>
            <w:tcW w:type="dxa" w:w="2081"/>
          </w:tcPr>
          <w:p>
            <w:r/>
            <w:r>
              <w:rPr>
                <w:sz w:val="18"/>
              </w:rPr>
              <w:t>19</w:t>
            </w:r>
          </w:p>
        </w:tc>
        <w:tc>
          <w:tcPr>
            <w:tcW w:type="dxa" w:w="2081"/>
          </w:tcPr>
          <w:p>
            <w:r/>
            <w:r>
              <w:rPr>
                <w:sz w:val="18"/>
              </w:rPr>
              <w:t>1</w:t>
            </w:r>
          </w:p>
        </w:tc>
        <w:tc>
          <w:tcPr>
            <w:tcW w:type="dxa" w:w="2081"/>
          </w:tcPr>
          <w:p>
            <w:r/>
            <w:r>
              <w:rPr>
                <w:sz w:val="18"/>
              </w:rPr>
              <w:t>0</w:t>
            </w:r>
          </w:p>
        </w:tc>
      </w:tr>
      <w:tr>
        <w:tc>
          <w:tcPr>
            <w:tcW w:type="dxa" w:w="2081"/>
          </w:tcPr>
          <w:p>
            <w:r/>
            <w:r>
              <w:rPr>
                <w:sz w:val="18"/>
              </w:rPr>
              <w:t>Mantenimiento y Certificación de Vehículos Aeroespaciales</w:t>
            </w:r>
          </w:p>
        </w:tc>
        <w:tc>
          <w:tcPr>
            <w:tcW w:type="dxa" w:w="2081"/>
          </w:tcPr>
          <w:p>
            <w:r/>
            <w:r>
              <w:rPr>
                <w:sz w:val="18"/>
              </w:rPr>
              <w:t>3</w:t>
            </w:r>
          </w:p>
        </w:tc>
        <w:tc>
          <w:tcPr>
            <w:tcW w:type="dxa" w:w="2081"/>
          </w:tcPr>
          <w:p>
            <w:r/>
            <w:r>
              <w:rPr>
                <w:sz w:val="18"/>
              </w:rPr>
              <w:t>0</w:t>
            </w:r>
          </w:p>
        </w:tc>
        <w:tc>
          <w:tcPr>
            <w:tcW w:type="dxa" w:w="2081"/>
          </w:tcPr>
          <w:p>
            <w:r/>
            <w:r>
              <w:rPr>
                <w:sz w:val="18"/>
              </w:rPr>
              <w:t>20</w:t>
            </w:r>
          </w:p>
        </w:tc>
        <w:tc>
          <w:tcPr>
            <w:tcW w:type="dxa" w:w="2081"/>
          </w:tcPr>
          <w:p>
            <w:r/>
            <w:r>
              <w:rPr>
                <w:sz w:val="18"/>
              </w:rPr>
              <w:t>74</w:t>
            </w:r>
          </w:p>
        </w:tc>
        <w:tc>
          <w:tcPr>
            <w:tcW w:type="dxa" w:w="2081"/>
          </w:tcPr>
          <w:p>
            <w:r/>
            <w:r>
              <w:rPr>
                <w:sz w:val="18"/>
              </w:rPr>
              <w:t>0</w:t>
            </w:r>
          </w:p>
        </w:tc>
        <w:tc>
          <w:tcPr>
            <w:tcW w:type="dxa" w:w="2081"/>
          </w:tcPr>
          <w:p>
            <w:r/>
            <w:r>
              <w:rPr>
                <w:sz w:val="18"/>
              </w:rPr>
              <w:t>3</w:t>
            </w:r>
          </w:p>
        </w:tc>
      </w:tr>
      <w:tr>
        <w:tc>
          <w:tcPr>
            <w:tcW w:type="dxa" w:w="2081"/>
          </w:tcPr>
          <w:p>
            <w:r/>
            <w:r>
              <w:rPr>
                <w:sz w:val="18"/>
              </w:rPr>
              <w:t>Materiales Aeroespaciales</w:t>
            </w:r>
          </w:p>
        </w:tc>
        <w:tc>
          <w:tcPr>
            <w:tcW w:type="dxa" w:w="2081"/>
          </w:tcPr>
          <w:p>
            <w:r/>
            <w:r>
              <w:rPr>
                <w:sz w:val="18"/>
              </w:rPr>
              <w:t>4</w:t>
            </w:r>
          </w:p>
        </w:tc>
        <w:tc>
          <w:tcPr>
            <w:tcW w:type="dxa" w:w="2081"/>
          </w:tcPr>
          <w:p>
            <w:r/>
            <w:r>
              <w:rPr>
                <w:sz w:val="18"/>
              </w:rPr>
              <w:t>0</w:t>
            </w:r>
          </w:p>
        </w:tc>
        <w:tc>
          <w:tcPr>
            <w:tcW w:type="dxa" w:w="2081"/>
          </w:tcPr>
          <w:p>
            <w:r/>
            <w:r>
              <w:rPr>
                <w:sz w:val="18"/>
              </w:rPr>
              <w:t>41</w:t>
            </w:r>
          </w:p>
        </w:tc>
        <w:tc>
          <w:tcPr>
            <w:tcW w:type="dxa" w:w="2081"/>
          </w:tcPr>
          <w:p>
            <w:r/>
            <w:r>
              <w:rPr>
                <w:sz w:val="18"/>
              </w:rPr>
              <w:t>48</w:t>
            </w:r>
          </w:p>
        </w:tc>
        <w:tc>
          <w:tcPr>
            <w:tcW w:type="dxa" w:w="2081"/>
          </w:tcPr>
          <w:p>
            <w:r/>
            <w:r>
              <w:rPr>
                <w:sz w:val="18"/>
              </w:rPr>
              <w:t>7</w:t>
            </w:r>
          </w:p>
        </w:tc>
        <w:tc>
          <w:tcPr>
            <w:tcW w:type="dxa" w:w="2081"/>
          </w:tcPr>
          <w:p>
            <w:r/>
            <w:r>
              <w:rPr>
                <w:sz w:val="18"/>
              </w:rPr>
              <w:t>0</w:t>
            </w:r>
          </w:p>
        </w:tc>
      </w:tr>
      <w:tr>
        <w:tc>
          <w:tcPr>
            <w:tcW w:type="dxa" w:w="2081"/>
          </w:tcPr>
          <w:p>
            <w:r/>
            <w:r>
              <w:rPr>
                <w:sz w:val="18"/>
              </w:rPr>
              <w:t>Mecánica de Fluidos I</w:t>
            </w:r>
          </w:p>
        </w:tc>
        <w:tc>
          <w:tcPr>
            <w:tcW w:type="dxa" w:w="2081"/>
          </w:tcPr>
          <w:p>
            <w:r/>
            <w:r>
              <w:rPr>
                <w:sz w:val="18"/>
              </w:rPr>
              <w:t>42</w:t>
            </w:r>
          </w:p>
        </w:tc>
        <w:tc>
          <w:tcPr>
            <w:tcW w:type="dxa" w:w="2081"/>
          </w:tcPr>
          <w:p>
            <w:r/>
            <w:r>
              <w:rPr>
                <w:sz w:val="18"/>
              </w:rPr>
              <w:t>21</w:t>
            </w:r>
          </w:p>
        </w:tc>
        <w:tc>
          <w:tcPr>
            <w:tcW w:type="dxa" w:w="2081"/>
          </w:tcPr>
          <w:p>
            <w:r/>
            <w:r>
              <w:rPr>
                <w:sz w:val="18"/>
              </w:rPr>
              <w:t>33</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Mecánica de Fluidos II</w:t>
            </w:r>
          </w:p>
        </w:tc>
        <w:tc>
          <w:tcPr>
            <w:tcW w:type="dxa" w:w="2081"/>
          </w:tcPr>
          <w:p>
            <w:r/>
            <w:r>
              <w:rPr>
                <w:sz w:val="18"/>
              </w:rPr>
              <w:t>14</w:t>
            </w:r>
          </w:p>
        </w:tc>
        <w:tc>
          <w:tcPr>
            <w:tcW w:type="dxa" w:w="2081"/>
          </w:tcPr>
          <w:p>
            <w:r/>
            <w:r>
              <w:rPr>
                <w:sz w:val="18"/>
              </w:rPr>
              <w:t>6</w:t>
            </w:r>
          </w:p>
        </w:tc>
        <w:tc>
          <w:tcPr>
            <w:tcW w:type="dxa" w:w="2081"/>
          </w:tcPr>
          <w:p>
            <w:r/>
            <w:r>
              <w:rPr>
                <w:sz w:val="18"/>
              </w:rPr>
              <w:t>45</w:t>
            </w:r>
          </w:p>
        </w:tc>
        <w:tc>
          <w:tcPr>
            <w:tcW w:type="dxa" w:w="2081"/>
          </w:tcPr>
          <w:p>
            <w:r/>
            <w:r>
              <w:rPr>
                <w:sz w:val="18"/>
              </w:rPr>
              <w:t>27</w:t>
            </w:r>
          </w:p>
        </w:tc>
        <w:tc>
          <w:tcPr>
            <w:tcW w:type="dxa" w:w="2081"/>
          </w:tcPr>
          <w:p>
            <w:r/>
            <w:r>
              <w:rPr>
                <w:sz w:val="18"/>
              </w:rPr>
              <w:t>5</w:t>
            </w:r>
          </w:p>
        </w:tc>
        <w:tc>
          <w:tcPr>
            <w:tcW w:type="dxa" w:w="2081"/>
          </w:tcPr>
          <w:p>
            <w:r/>
            <w:r>
              <w:rPr>
                <w:sz w:val="18"/>
              </w:rPr>
              <w:t>2</w:t>
            </w:r>
          </w:p>
        </w:tc>
      </w:tr>
      <w:tr>
        <w:tc>
          <w:tcPr>
            <w:tcW w:type="dxa" w:w="2081"/>
          </w:tcPr>
          <w:p>
            <w:r/>
            <w:r>
              <w:rPr>
                <w:sz w:val="18"/>
              </w:rPr>
              <w:t>Mecánica del Vuelo (Aeronaves)</w:t>
            </w:r>
          </w:p>
        </w:tc>
        <w:tc>
          <w:tcPr>
            <w:tcW w:type="dxa" w:w="2081"/>
          </w:tcPr>
          <w:p>
            <w:r/>
            <w:r>
              <w:rPr>
                <w:sz w:val="18"/>
              </w:rPr>
              <w:t>45</w:t>
            </w:r>
          </w:p>
        </w:tc>
        <w:tc>
          <w:tcPr>
            <w:tcW w:type="dxa" w:w="2081"/>
          </w:tcPr>
          <w:p>
            <w:r/>
            <w:r>
              <w:rPr>
                <w:sz w:val="18"/>
              </w:rPr>
              <w:t>16</w:t>
            </w:r>
          </w:p>
        </w:tc>
        <w:tc>
          <w:tcPr>
            <w:tcW w:type="dxa" w:w="2081"/>
          </w:tcPr>
          <w:p>
            <w:r/>
            <w:r>
              <w:rPr>
                <w:sz w:val="18"/>
              </w:rPr>
              <w:t>33</w:t>
            </w:r>
          </w:p>
        </w:tc>
        <w:tc>
          <w:tcPr>
            <w:tcW w:type="dxa" w:w="2081"/>
          </w:tcPr>
          <w:p>
            <w:r/>
            <w:r>
              <w:rPr>
                <w:sz w:val="18"/>
              </w:rPr>
              <w:t>4</w:t>
            </w:r>
          </w:p>
        </w:tc>
        <w:tc>
          <w:tcPr>
            <w:tcW w:type="dxa" w:w="2081"/>
          </w:tcPr>
          <w:p>
            <w:r/>
            <w:r>
              <w:rPr>
                <w:sz w:val="18"/>
              </w:rPr>
              <w:t>0</w:t>
            </w:r>
          </w:p>
        </w:tc>
        <w:tc>
          <w:tcPr>
            <w:tcW w:type="dxa" w:w="2081"/>
          </w:tcPr>
          <w:p>
            <w:r/>
            <w:r>
              <w:rPr>
                <w:sz w:val="18"/>
              </w:rPr>
              <w:t>1</w:t>
            </w:r>
          </w:p>
        </w:tc>
      </w:tr>
      <w:tr>
        <w:tc>
          <w:tcPr>
            <w:tcW w:type="dxa" w:w="2081"/>
          </w:tcPr>
          <w:p>
            <w:r/>
            <w:r>
              <w:rPr>
                <w:sz w:val="18"/>
              </w:rPr>
              <w:t>Mecánica del Vuelo (Equipos y Materiales Aeroespaciales)</w:t>
            </w:r>
          </w:p>
        </w:tc>
        <w:tc>
          <w:tcPr>
            <w:tcW w:type="dxa" w:w="2081"/>
          </w:tcPr>
          <w:p>
            <w:r/>
            <w:r>
              <w:rPr>
                <w:sz w:val="18"/>
              </w:rPr>
              <w:t>50</w:t>
            </w:r>
          </w:p>
        </w:tc>
        <w:tc>
          <w:tcPr>
            <w:tcW w:type="dxa" w:w="2081"/>
          </w:tcPr>
          <w:p>
            <w:r/>
            <w:r>
              <w:rPr>
                <w:sz w:val="18"/>
              </w:rPr>
              <w:t>18</w:t>
            </w:r>
          </w:p>
        </w:tc>
        <w:tc>
          <w:tcPr>
            <w:tcW w:type="dxa" w:w="2081"/>
          </w:tcPr>
          <w:p>
            <w:r/>
            <w:r>
              <w:rPr>
                <w:sz w:val="18"/>
              </w:rPr>
              <w:t>22</w:t>
            </w:r>
          </w:p>
        </w:tc>
        <w:tc>
          <w:tcPr>
            <w:tcW w:type="dxa" w:w="2081"/>
          </w:tcPr>
          <w:p>
            <w:r/>
            <w:r>
              <w:rPr>
                <w:sz w:val="18"/>
              </w:rPr>
              <w:t>2</w:t>
            </w:r>
          </w:p>
        </w:tc>
        <w:tc>
          <w:tcPr>
            <w:tcW w:type="dxa" w:w="2081"/>
          </w:tcPr>
          <w:p>
            <w:r/>
            <w:r>
              <w:rPr>
                <w:sz w:val="18"/>
              </w:rPr>
              <w:t>6</w:t>
            </w:r>
          </w:p>
        </w:tc>
        <w:tc>
          <w:tcPr>
            <w:tcW w:type="dxa" w:w="2081"/>
          </w:tcPr>
          <w:p>
            <w:r/>
            <w:r>
              <w:rPr>
                <w:sz w:val="18"/>
              </w:rPr>
              <w:t>0</w:t>
            </w:r>
          </w:p>
        </w:tc>
      </w:tr>
      <w:tr>
        <w:tc>
          <w:tcPr>
            <w:tcW w:type="dxa" w:w="2081"/>
          </w:tcPr>
          <w:p>
            <w:r/>
            <w:r>
              <w:rPr>
                <w:sz w:val="18"/>
              </w:rPr>
              <w:t>Mecánica y Vibraciones</w:t>
            </w:r>
          </w:p>
        </w:tc>
        <w:tc>
          <w:tcPr>
            <w:tcW w:type="dxa" w:w="2081"/>
          </w:tcPr>
          <w:p>
            <w:r/>
            <w:r>
              <w:rPr>
                <w:sz w:val="18"/>
              </w:rPr>
              <w:t>30</w:t>
            </w:r>
          </w:p>
        </w:tc>
        <w:tc>
          <w:tcPr>
            <w:tcW w:type="dxa" w:w="2081"/>
          </w:tcPr>
          <w:p>
            <w:r/>
            <w:r>
              <w:rPr>
                <w:sz w:val="18"/>
              </w:rPr>
              <w:t>32</w:t>
            </w:r>
          </w:p>
        </w:tc>
        <w:tc>
          <w:tcPr>
            <w:tcW w:type="dxa" w:w="2081"/>
          </w:tcPr>
          <w:p>
            <w:r/>
            <w:r>
              <w:rPr>
                <w:sz w:val="18"/>
              </w:rPr>
              <w:t>26</w:t>
            </w:r>
          </w:p>
        </w:tc>
        <w:tc>
          <w:tcPr>
            <w:tcW w:type="dxa" w:w="2081"/>
          </w:tcPr>
          <w:p>
            <w:r/>
            <w:r>
              <w:rPr>
                <w:sz w:val="18"/>
              </w:rPr>
              <w:t>2</w:t>
            </w:r>
          </w:p>
        </w:tc>
        <w:tc>
          <w:tcPr>
            <w:tcW w:type="dxa" w:w="2081"/>
          </w:tcPr>
          <w:p>
            <w:r/>
            <w:r>
              <w:rPr>
                <w:sz w:val="18"/>
              </w:rPr>
              <w:t>1</w:t>
            </w:r>
          </w:p>
        </w:tc>
        <w:tc>
          <w:tcPr>
            <w:tcW w:type="dxa" w:w="2081"/>
          </w:tcPr>
          <w:p>
            <w:r/>
            <w:r>
              <w:rPr>
                <w:sz w:val="18"/>
              </w:rPr>
              <w:t>0</w:t>
            </w:r>
          </w:p>
        </w:tc>
      </w:tr>
      <w:tr>
        <w:tc>
          <w:tcPr>
            <w:tcW w:type="dxa" w:w="2081"/>
          </w:tcPr>
          <w:p>
            <w:r/>
            <w:r>
              <w:rPr>
                <w:sz w:val="18"/>
              </w:rPr>
              <w:t>Motores de Aeronaves</w:t>
            </w:r>
          </w:p>
        </w:tc>
        <w:tc>
          <w:tcPr>
            <w:tcW w:type="dxa" w:w="2081"/>
          </w:tcPr>
          <w:p>
            <w:r/>
            <w:r>
              <w:rPr>
                <w:sz w:val="18"/>
              </w:rPr>
              <w:t>9</w:t>
            </w:r>
          </w:p>
        </w:tc>
        <w:tc>
          <w:tcPr>
            <w:tcW w:type="dxa" w:w="2081"/>
          </w:tcPr>
          <w:p>
            <w:r/>
            <w:r>
              <w:rPr>
                <w:sz w:val="18"/>
              </w:rPr>
              <w:t>37</w:t>
            </w:r>
          </w:p>
        </w:tc>
        <w:tc>
          <w:tcPr>
            <w:tcW w:type="dxa" w:w="2081"/>
          </w:tcPr>
          <w:p>
            <w:r/>
            <w:r>
              <w:rPr>
                <w:sz w:val="18"/>
              </w:rPr>
              <w:t>47</w:t>
            </w:r>
          </w:p>
        </w:tc>
        <w:tc>
          <w:tcPr>
            <w:tcW w:type="dxa" w:w="2081"/>
          </w:tcPr>
          <w:p>
            <w:r/>
            <w:r>
              <w:rPr>
                <w:sz w:val="18"/>
              </w:rPr>
              <w:t>5</w:t>
            </w:r>
          </w:p>
        </w:tc>
        <w:tc>
          <w:tcPr>
            <w:tcW w:type="dxa" w:w="2081"/>
          </w:tcPr>
          <w:p>
            <w:r/>
            <w:r>
              <w:rPr>
                <w:sz w:val="18"/>
              </w:rPr>
              <w:t>0</w:t>
            </w:r>
          </w:p>
        </w:tc>
        <w:tc>
          <w:tcPr>
            <w:tcW w:type="dxa" w:w="2081"/>
          </w:tcPr>
          <w:p>
            <w:r/>
            <w:r>
              <w:rPr>
                <w:sz w:val="18"/>
              </w:rPr>
              <w:t>0</w:t>
            </w:r>
          </w:p>
        </w:tc>
      </w:tr>
      <w:tr>
        <w:tc>
          <w:tcPr>
            <w:tcW w:type="dxa" w:w="2081"/>
          </w:tcPr>
          <w:p>
            <w:r/>
            <w:r>
              <w:rPr>
                <w:sz w:val="18"/>
              </w:rPr>
              <w:t>Métodos Numéricos Avanzados</w:t>
            </w:r>
          </w:p>
        </w:tc>
        <w:tc>
          <w:tcPr>
            <w:tcW w:type="dxa" w:w="2081"/>
          </w:tcPr>
          <w:p>
            <w:r/>
            <w:r>
              <w:rPr>
                <w:sz w:val="18"/>
              </w:rPr>
              <w:t>1</w:t>
            </w:r>
          </w:p>
        </w:tc>
        <w:tc>
          <w:tcPr>
            <w:tcW w:type="dxa" w:w="2081"/>
          </w:tcPr>
          <w:p>
            <w:r/>
            <w:r>
              <w:rPr>
                <w:sz w:val="18"/>
              </w:rPr>
              <w:t>0</w:t>
            </w:r>
          </w:p>
        </w:tc>
        <w:tc>
          <w:tcPr>
            <w:tcW w:type="dxa" w:w="2081"/>
          </w:tcPr>
          <w:p>
            <w:r/>
            <w:r>
              <w:rPr>
                <w:sz w:val="18"/>
              </w:rPr>
              <w:t>7</w:t>
            </w:r>
          </w:p>
        </w:tc>
        <w:tc>
          <w:tcPr>
            <w:tcW w:type="dxa" w:w="2081"/>
          </w:tcPr>
          <w:p>
            <w:r/>
            <w:r>
              <w:rPr>
                <w:sz w:val="18"/>
              </w:rPr>
              <w:t>73</w:t>
            </w:r>
          </w:p>
        </w:tc>
        <w:tc>
          <w:tcPr>
            <w:tcW w:type="dxa" w:w="2081"/>
          </w:tcPr>
          <w:p>
            <w:r/>
            <w:r>
              <w:rPr>
                <w:sz w:val="18"/>
              </w:rPr>
              <w:t>16</w:t>
            </w:r>
          </w:p>
        </w:tc>
        <w:tc>
          <w:tcPr>
            <w:tcW w:type="dxa" w:w="2081"/>
          </w:tcPr>
          <w:p>
            <w:r/>
            <w:r>
              <w:rPr>
                <w:sz w:val="18"/>
              </w:rPr>
              <w:t>2</w:t>
            </w:r>
          </w:p>
        </w:tc>
      </w:tr>
      <w:tr>
        <w:tc>
          <w:tcPr>
            <w:tcW w:type="dxa" w:w="2081"/>
          </w:tcPr>
          <w:p>
            <w:r/>
            <w:r>
              <w:rPr>
                <w:sz w:val="18"/>
              </w:rPr>
              <w:t>Navegación Aérea</w:t>
            </w:r>
          </w:p>
        </w:tc>
        <w:tc>
          <w:tcPr>
            <w:tcW w:type="dxa" w:w="2081"/>
          </w:tcPr>
          <w:p>
            <w:r/>
            <w:r>
              <w:rPr>
                <w:sz w:val="18"/>
              </w:rPr>
              <w:t>2</w:t>
            </w:r>
          </w:p>
        </w:tc>
        <w:tc>
          <w:tcPr>
            <w:tcW w:type="dxa" w:w="2081"/>
          </w:tcPr>
          <w:p>
            <w:r/>
            <w:r>
              <w:rPr>
                <w:sz w:val="18"/>
              </w:rPr>
              <w:t>2</w:t>
            </w:r>
          </w:p>
        </w:tc>
        <w:tc>
          <w:tcPr>
            <w:tcW w:type="dxa" w:w="2081"/>
          </w:tcPr>
          <w:p>
            <w:r/>
            <w:r>
              <w:rPr>
                <w:sz w:val="18"/>
              </w:rPr>
              <w:t>52</w:t>
            </w:r>
          </w:p>
        </w:tc>
        <w:tc>
          <w:tcPr>
            <w:tcW w:type="dxa" w:w="2081"/>
          </w:tcPr>
          <w:p>
            <w:r/>
            <w:r>
              <w:rPr>
                <w:sz w:val="18"/>
              </w:rPr>
              <w:t>45</w:t>
            </w:r>
          </w:p>
        </w:tc>
        <w:tc>
          <w:tcPr>
            <w:tcW w:type="dxa" w:w="2081"/>
          </w:tcPr>
          <w:p>
            <w:r/>
            <w:r>
              <w:rPr>
                <w:sz w:val="18"/>
              </w:rPr>
              <w:t>0</w:t>
            </w:r>
          </w:p>
        </w:tc>
        <w:tc>
          <w:tcPr>
            <w:tcW w:type="dxa" w:w="2081"/>
          </w:tcPr>
          <w:p>
            <w:r/>
            <w:r>
              <w:rPr>
                <w:sz w:val="18"/>
              </w:rPr>
              <w:t>0</w:t>
            </w:r>
          </w:p>
        </w:tc>
      </w:tr>
      <w:tr>
        <w:tc>
          <w:tcPr>
            <w:tcW w:type="dxa" w:w="2081"/>
          </w:tcPr>
          <w:p>
            <w:r/>
            <w:r>
              <w:rPr>
                <w:sz w:val="18"/>
              </w:rPr>
              <w:t>Organización y Gestión de Empresas</w:t>
            </w:r>
          </w:p>
        </w:tc>
        <w:tc>
          <w:tcPr>
            <w:tcW w:type="dxa" w:w="2081"/>
          </w:tcPr>
          <w:p>
            <w:r/>
            <w:r>
              <w:rPr>
                <w:sz w:val="18"/>
              </w:rPr>
              <w:t>7</w:t>
            </w:r>
          </w:p>
        </w:tc>
        <w:tc>
          <w:tcPr>
            <w:tcW w:type="dxa" w:w="2081"/>
          </w:tcPr>
          <w:p>
            <w:r/>
            <w:r>
              <w:rPr>
                <w:sz w:val="18"/>
              </w:rPr>
              <w:t>7</w:t>
            </w:r>
          </w:p>
        </w:tc>
        <w:tc>
          <w:tcPr>
            <w:tcW w:type="dxa" w:w="2081"/>
          </w:tcPr>
          <w:p>
            <w:r/>
            <w:r>
              <w:rPr>
                <w:sz w:val="18"/>
              </w:rPr>
              <w:t>40</w:t>
            </w:r>
          </w:p>
        </w:tc>
        <w:tc>
          <w:tcPr>
            <w:tcW w:type="dxa" w:w="2081"/>
          </w:tcPr>
          <w:p>
            <w:r/>
            <w:r>
              <w:rPr>
                <w:sz w:val="18"/>
              </w:rPr>
              <w:t>43</w:t>
            </w:r>
          </w:p>
        </w:tc>
        <w:tc>
          <w:tcPr>
            <w:tcW w:type="dxa" w:w="2081"/>
          </w:tcPr>
          <w:p>
            <w:r/>
            <w:r>
              <w:rPr>
                <w:sz w:val="18"/>
              </w:rPr>
              <w:t>3</w:t>
            </w:r>
          </w:p>
        </w:tc>
        <w:tc>
          <w:tcPr>
            <w:tcW w:type="dxa" w:w="2081"/>
          </w:tcPr>
          <w:p>
            <w:r/>
            <w:r>
              <w:rPr>
                <w:sz w:val="18"/>
              </w:rPr>
              <w:t>0</w:t>
            </w:r>
          </w:p>
        </w:tc>
      </w:tr>
      <w:tr>
        <w:tc>
          <w:tcPr>
            <w:tcW w:type="dxa" w:w="2081"/>
          </w:tcPr>
          <w:p>
            <w:r/>
            <w:r>
              <w:rPr>
                <w:sz w:val="18"/>
              </w:rPr>
              <w:t>Proyecto Fin de Grado</w:t>
            </w:r>
          </w:p>
        </w:tc>
        <w:tc>
          <w:tcPr>
            <w:tcW w:type="dxa" w:w="2081"/>
          </w:tcPr>
          <w:p>
            <w:r/>
            <w:r>
              <w:rPr>
                <w:sz w:val="18"/>
              </w:rPr>
              <w:t>48</w:t>
            </w:r>
          </w:p>
        </w:tc>
        <w:tc>
          <w:tcPr>
            <w:tcW w:type="dxa" w:w="2081"/>
          </w:tcPr>
          <w:p>
            <w:r/>
            <w:r>
              <w:rPr>
                <w:sz w:val="18"/>
              </w:rPr>
              <w:t>1</w:t>
            </w:r>
          </w:p>
        </w:tc>
        <w:tc>
          <w:tcPr>
            <w:tcW w:type="dxa" w:w="2081"/>
          </w:tcPr>
          <w:p>
            <w:r/>
            <w:r>
              <w:rPr>
                <w:sz w:val="18"/>
              </w:rPr>
              <w:t>11</w:t>
            </w:r>
          </w:p>
        </w:tc>
        <w:tc>
          <w:tcPr>
            <w:tcW w:type="dxa" w:w="2081"/>
          </w:tcPr>
          <w:p>
            <w:r/>
            <w:r>
              <w:rPr>
                <w:sz w:val="18"/>
              </w:rPr>
              <w:t>21</w:t>
            </w:r>
          </w:p>
        </w:tc>
        <w:tc>
          <w:tcPr>
            <w:tcW w:type="dxa" w:w="2081"/>
          </w:tcPr>
          <w:p>
            <w:r/>
            <w:r>
              <w:rPr>
                <w:sz w:val="18"/>
              </w:rPr>
              <w:t>11</w:t>
            </w:r>
          </w:p>
        </w:tc>
        <w:tc>
          <w:tcPr>
            <w:tcW w:type="dxa" w:w="2081"/>
          </w:tcPr>
          <w:p>
            <w:r/>
            <w:r>
              <w:rPr>
                <w:sz w:val="18"/>
              </w:rPr>
              <w:t>5</w:t>
            </w:r>
          </w:p>
        </w:tc>
      </w:tr>
      <w:tr>
        <w:tc>
          <w:tcPr>
            <w:tcW w:type="dxa" w:w="2081"/>
          </w:tcPr>
          <w:p>
            <w:r/>
            <w:r>
              <w:rPr>
                <w:sz w:val="18"/>
              </w:rPr>
              <w:t>Proyectos de Ingeniería Aeroespacial</w:t>
            </w:r>
          </w:p>
        </w:tc>
        <w:tc>
          <w:tcPr>
            <w:tcW w:type="dxa" w:w="2081"/>
          </w:tcPr>
          <w:p>
            <w:r/>
            <w:r>
              <w:rPr>
                <w:sz w:val="18"/>
              </w:rPr>
              <w:t>0</w:t>
            </w:r>
          </w:p>
        </w:tc>
        <w:tc>
          <w:tcPr>
            <w:tcW w:type="dxa" w:w="2081"/>
          </w:tcPr>
          <w:p>
            <w:r/>
            <w:r>
              <w:rPr>
                <w:sz w:val="18"/>
              </w:rPr>
              <w:t>0</w:t>
            </w:r>
          </w:p>
        </w:tc>
        <w:tc>
          <w:tcPr>
            <w:tcW w:type="dxa" w:w="2081"/>
          </w:tcPr>
          <w:p>
            <w:r/>
            <w:r>
              <w:rPr>
                <w:sz w:val="18"/>
              </w:rPr>
              <w:t>27</w:t>
            </w:r>
          </w:p>
        </w:tc>
        <w:tc>
          <w:tcPr>
            <w:tcW w:type="dxa" w:w="2081"/>
          </w:tcPr>
          <w:p>
            <w:r/>
            <w:r>
              <w:rPr>
                <w:sz w:val="18"/>
              </w:rPr>
              <w:t>65</w:t>
            </w:r>
          </w:p>
        </w:tc>
        <w:tc>
          <w:tcPr>
            <w:tcW w:type="dxa" w:w="2081"/>
          </w:tcPr>
          <w:p>
            <w:r/>
            <w:r>
              <w:rPr>
                <w:sz w:val="18"/>
              </w:rPr>
              <w:t>3</w:t>
            </w:r>
          </w:p>
        </w:tc>
        <w:tc>
          <w:tcPr>
            <w:tcW w:type="dxa" w:w="2081"/>
          </w:tcPr>
          <w:p>
            <w:r/>
            <w:r>
              <w:rPr>
                <w:sz w:val="18"/>
              </w:rPr>
              <w:t>5</w:t>
            </w:r>
          </w:p>
        </w:tc>
      </w:tr>
      <w:tr>
        <w:tc>
          <w:tcPr>
            <w:tcW w:type="dxa" w:w="2081"/>
          </w:tcPr>
          <w:p>
            <w:r/>
            <w:r>
              <w:rPr>
                <w:sz w:val="18"/>
              </w:rPr>
              <w:t>Prácticas Curriculares</w:t>
            </w:r>
          </w:p>
        </w:tc>
        <w:tc>
          <w:tcPr>
            <w:tcW w:type="dxa" w:w="2081"/>
          </w:tcPr>
          <w:p>
            <w:r/>
            <w:r>
              <w:rPr>
                <w:sz w:val="18"/>
              </w:rPr>
              <w:t>11</w:t>
            </w:r>
          </w:p>
        </w:tc>
        <w:tc>
          <w:tcPr>
            <w:tcW w:type="dxa" w:w="2081"/>
          </w:tcPr>
          <w:p>
            <w:r/>
            <w:r>
              <w:rPr>
                <w:sz w:val="18"/>
              </w:rPr>
              <w:t>0</w:t>
            </w:r>
          </w:p>
        </w:tc>
        <w:tc>
          <w:tcPr>
            <w:tcW w:type="dxa" w:w="2081"/>
          </w:tcPr>
          <w:p>
            <w:r/>
            <w:r>
              <w:rPr>
                <w:sz w:val="18"/>
              </w:rPr>
              <w:t>0</w:t>
            </w:r>
          </w:p>
        </w:tc>
        <w:tc>
          <w:tcPr>
            <w:tcW w:type="dxa" w:w="2081"/>
          </w:tcPr>
          <w:p>
            <w:r/>
            <w:r>
              <w:rPr>
                <w:sz w:val="18"/>
              </w:rPr>
              <w:t>22</w:t>
            </w:r>
          </w:p>
        </w:tc>
        <w:tc>
          <w:tcPr>
            <w:tcW w:type="dxa" w:w="2081"/>
          </w:tcPr>
          <w:p>
            <w:r/>
            <w:r>
              <w:rPr>
                <w:sz w:val="18"/>
              </w:rPr>
              <w:t>67</w:t>
            </w:r>
          </w:p>
        </w:tc>
        <w:tc>
          <w:tcPr>
            <w:tcW w:type="dxa" w:w="2081"/>
          </w:tcPr>
          <w:p>
            <w:r/>
            <w:r>
              <w:rPr>
                <w:sz w:val="18"/>
              </w:rPr>
              <w:t>0</w:t>
            </w:r>
          </w:p>
        </w:tc>
      </w:tr>
      <w:tr>
        <w:tc>
          <w:tcPr>
            <w:tcW w:type="dxa" w:w="2081"/>
          </w:tcPr>
          <w:p>
            <w:r/>
            <w:r>
              <w:rPr>
                <w:sz w:val="18"/>
              </w:rPr>
              <w:t>Química</w:t>
            </w:r>
          </w:p>
        </w:tc>
        <w:tc>
          <w:tcPr>
            <w:tcW w:type="dxa" w:w="2081"/>
          </w:tcPr>
          <w:p>
            <w:r/>
            <w:r>
              <w:rPr>
                <w:sz w:val="18"/>
              </w:rPr>
              <w:t>7</w:t>
            </w:r>
          </w:p>
        </w:tc>
        <w:tc>
          <w:tcPr>
            <w:tcW w:type="dxa" w:w="2081"/>
          </w:tcPr>
          <w:p>
            <w:r/>
            <w:r>
              <w:rPr>
                <w:sz w:val="18"/>
              </w:rPr>
              <w:t>6</w:t>
            </w:r>
          </w:p>
        </w:tc>
        <w:tc>
          <w:tcPr>
            <w:tcW w:type="dxa" w:w="2081"/>
          </w:tcPr>
          <w:p>
            <w:r/>
            <w:r>
              <w:rPr>
                <w:sz w:val="18"/>
              </w:rPr>
              <w:t>29</w:t>
            </w:r>
          </w:p>
        </w:tc>
        <w:tc>
          <w:tcPr>
            <w:tcW w:type="dxa" w:w="2081"/>
          </w:tcPr>
          <w:p>
            <w:r/>
            <w:r>
              <w:rPr>
                <w:sz w:val="18"/>
              </w:rPr>
              <w:t>46</w:t>
            </w:r>
          </w:p>
        </w:tc>
        <w:tc>
          <w:tcPr>
            <w:tcW w:type="dxa" w:w="2081"/>
          </w:tcPr>
          <w:p>
            <w:r/>
            <w:r>
              <w:rPr>
                <w:sz w:val="18"/>
              </w:rPr>
              <w:t>11</w:t>
            </w:r>
          </w:p>
        </w:tc>
        <w:tc>
          <w:tcPr>
            <w:tcW w:type="dxa" w:w="2081"/>
          </w:tcPr>
          <w:p>
            <w:r/>
            <w:r>
              <w:rPr>
                <w:sz w:val="18"/>
              </w:rPr>
              <w:t>1</w:t>
            </w:r>
          </w:p>
        </w:tc>
      </w:tr>
      <w:tr>
        <w:tc>
          <w:tcPr>
            <w:tcW w:type="dxa" w:w="2081"/>
          </w:tcPr>
          <w:p>
            <w:r/>
            <w:r>
              <w:rPr>
                <w:sz w:val="18"/>
              </w:rPr>
              <w:t>Sistemas de Propulsión Aeroespacial</w:t>
            </w:r>
          </w:p>
        </w:tc>
        <w:tc>
          <w:tcPr>
            <w:tcW w:type="dxa" w:w="2081"/>
          </w:tcPr>
          <w:p>
            <w:r/>
            <w:r>
              <w:rPr>
                <w:sz w:val="18"/>
              </w:rPr>
              <w:t>21</w:t>
            </w:r>
          </w:p>
        </w:tc>
        <w:tc>
          <w:tcPr>
            <w:tcW w:type="dxa" w:w="2081"/>
          </w:tcPr>
          <w:p>
            <w:r/>
            <w:r>
              <w:rPr>
                <w:sz w:val="18"/>
              </w:rPr>
              <w:t>31</w:t>
            </w:r>
          </w:p>
        </w:tc>
        <w:tc>
          <w:tcPr>
            <w:tcW w:type="dxa" w:w="2081"/>
          </w:tcPr>
          <w:p>
            <w:r/>
            <w:r>
              <w:rPr>
                <w:sz w:val="18"/>
              </w:rPr>
              <w:t>40</w:t>
            </w:r>
          </w:p>
        </w:tc>
        <w:tc>
          <w:tcPr>
            <w:tcW w:type="dxa" w:w="2081"/>
          </w:tcPr>
          <w:p>
            <w:r/>
            <w:r>
              <w:rPr>
                <w:sz w:val="18"/>
              </w:rPr>
              <w:t>2</w:t>
            </w:r>
          </w:p>
        </w:tc>
        <w:tc>
          <w:tcPr>
            <w:tcW w:type="dxa" w:w="2081"/>
          </w:tcPr>
          <w:p>
            <w:r/>
            <w:r>
              <w:rPr>
                <w:sz w:val="18"/>
              </w:rPr>
              <w:t>0</w:t>
            </w:r>
          </w:p>
        </w:tc>
        <w:tc>
          <w:tcPr>
            <w:tcW w:type="dxa" w:w="2081"/>
          </w:tcPr>
          <w:p>
            <w:r/>
            <w:r>
              <w:rPr>
                <w:sz w:val="18"/>
              </w:rPr>
              <w:t>0</w:t>
            </w:r>
          </w:p>
        </w:tc>
      </w:tr>
      <w:tr>
        <w:tc>
          <w:tcPr>
            <w:tcW w:type="dxa" w:w="2081"/>
          </w:tcPr>
          <w:p>
            <w:r/>
            <w:r>
              <w:rPr>
                <w:sz w:val="18"/>
              </w:rPr>
              <w:t>Tecnologías de Conformado de Materiales Aeroespaciales</w:t>
            </w:r>
          </w:p>
        </w:tc>
        <w:tc>
          <w:tcPr>
            <w:tcW w:type="dxa" w:w="2081"/>
          </w:tcPr>
          <w:p>
            <w:r/>
            <w:r>
              <w:rPr>
                <w:sz w:val="18"/>
              </w:rPr>
              <w:t>0</w:t>
            </w:r>
          </w:p>
        </w:tc>
        <w:tc>
          <w:tcPr>
            <w:tcW w:type="dxa" w:w="2081"/>
          </w:tcPr>
          <w:p>
            <w:r/>
            <w:r>
              <w:rPr>
                <w:sz w:val="18"/>
              </w:rPr>
              <w:t>0</w:t>
            </w:r>
          </w:p>
        </w:tc>
        <w:tc>
          <w:tcPr>
            <w:tcW w:type="dxa" w:w="2081"/>
          </w:tcPr>
          <w:p>
            <w:r/>
            <w:r>
              <w:rPr>
                <w:sz w:val="18"/>
              </w:rPr>
              <w:t>16</w:t>
            </w:r>
          </w:p>
        </w:tc>
        <w:tc>
          <w:tcPr>
            <w:tcW w:type="dxa" w:w="2081"/>
          </w:tcPr>
          <w:p>
            <w:r/>
            <w:r>
              <w:rPr>
                <w:sz w:val="18"/>
              </w:rPr>
              <w:t>84</w:t>
            </w:r>
          </w:p>
        </w:tc>
        <w:tc>
          <w:tcPr>
            <w:tcW w:type="dxa" w:w="2081"/>
          </w:tcPr>
          <w:p>
            <w:r/>
            <w:r>
              <w:rPr>
                <w:sz w:val="18"/>
              </w:rPr>
              <w:t>0</w:t>
            </w:r>
          </w:p>
        </w:tc>
        <w:tc>
          <w:tcPr>
            <w:tcW w:type="dxa" w:w="2081"/>
          </w:tcPr>
          <w:p>
            <w:r/>
            <w:r>
              <w:rPr>
                <w:sz w:val="18"/>
              </w:rPr>
              <w:t>0</w:t>
            </w:r>
          </w:p>
        </w:tc>
      </w:tr>
      <w:tr>
        <w:tc>
          <w:tcPr>
            <w:tcW w:type="dxa" w:w="2081"/>
          </w:tcPr>
          <w:p>
            <w:r/>
            <w:r>
              <w:rPr>
                <w:sz w:val="18"/>
              </w:rPr>
              <w:t>Termodinámica</w:t>
            </w:r>
          </w:p>
        </w:tc>
        <w:tc>
          <w:tcPr>
            <w:tcW w:type="dxa" w:w="2081"/>
          </w:tcPr>
          <w:p>
            <w:r/>
            <w:r>
              <w:rPr>
                <w:sz w:val="18"/>
              </w:rPr>
              <w:t>22</w:t>
            </w:r>
          </w:p>
        </w:tc>
        <w:tc>
          <w:tcPr>
            <w:tcW w:type="dxa" w:w="2081"/>
          </w:tcPr>
          <w:p>
            <w:r/>
            <w:r>
              <w:rPr>
                <w:sz w:val="18"/>
              </w:rPr>
              <w:t>19</w:t>
            </w:r>
          </w:p>
        </w:tc>
        <w:tc>
          <w:tcPr>
            <w:tcW w:type="dxa" w:w="2081"/>
          </w:tcPr>
          <w:p>
            <w:r/>
            <w:r>
              <w:rPr>
                <w:sz w:val="18"/>
              </w:rPr>
              <w:t>55</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Vehículos Aeroespaciales</w:t>
            </w:r>
          </w:p>
        </w:tc>
        <w:tc>
          <w:tcPr>
            <w:tcW w:type="dxa" w:w="2081"/>
          </w:tcPr>
          <w:p>
            <w:r/>
            <w:r>
              <w:rPr>
                <w:sz w:val="18"/>
              </w:rPr>
              <w:t>5</w:t>
            </w:r>
          </w:p>
        </w:tc>
        <w:tc>
          <w:tcPr>
            <w:tcW w:type="dxa" w:w="2081"/>
          </w:tcPr>
          <w:p>
            <w:r/>
            <w:r>
              <w:rPr>
                <w:sz w:val="18"/>
              </w:rPr>
              <w:t>7</w:t>
            </w:r>
          </w:p>
        </w:tc>
        <w:tc>
          <w:tcPr>
            <w:tcW w:type="dxa" w:w="2081"/>
          </w:tcPr>
          <w:p>
            <w:r/>
            <w:r>
              <w:rPr>
                <w:sz w:val="18"/>
              </w:rPr>
              <w:t>52</w:t>
            </w:r>
          </w:p>
        </w:tc>
        <w:tc>
          <w:tcPr>
            <w:tcW w:type="dxa" w:w="2081"/>
          </w:tcPr>
          <w:p>
            <w:r/>
            <w:r>
              <w:rPr>
                <w:sz w:val="18"/>
              </w:rPr>
              <w:t>33</w:t>
            </w:r>
          </w:p>
        </w:tc>
        <w:tc>
          <w:tcPr>
            <w:tcW w:type="dxa" w:w="2081"/>
          </w:tcPr>
          <w:p>
            <w:r/>
            <w:r>
              <w:rPr>
                <w:sz w:val="18"/>
              </w:rPr>
              <w:t>0</w:t>
            </w:r>
          </w:p>
        </w:tc>
        <w:tc>
          <w:tcPr>
            <w:tcW w:type="dxa" w:w="2081"/>
          </w:tcPr>
          <w:p>
            <w:r/>
            <w:r>
              <w:rPr>
                <w:sz w:val="18"/>
              </w:rPr>
              <w:t>0</w:t>
            </w:r>
          </w:p>
        </w:tc>
      </w:tr>
      <w:tr>
        <w:tc>
          <w:tcPr>
            <w:tcW w:type="dxa" w:w="2081"/>
          </w:tcPr>
          <w:p>
            <w:r/>
            <w:r>
              <w:rPr>
                <w:sz w:val="18"/>
              </w:rPr>
              <w:t>Álgebra y Geometría</w:t>
            </w:r>
          </w:p>
        </w:tc>
        <w:tc>
          <w:tcPr>
            <w:tcW w:type="dxa" w:w="2081"/>
          </w:tcPr>
          <w:p>
            <w:r/>
            <w:r>
              <w:rPr>
                <w:sz w:val="18"/>
              </w:rPr>
              <w:t>11</w:t>
            </w:r>
          </w:p>
        </w:tc>
        <w:tc>
          <w:tcPr>
            <w:tcW w:type="dxa" w:w="2081"/>
          </w:tcPr>
          <w:p>
            <w:r/>
            <w:r>
              <w:rPr>
                <w:sz w:val="18"/>
              </w:rPr>
              <w:t>9</w:t>
            </w:r>
          </w:p>
        </w:tc>
        <w:tc>
          <w:tcPr>
            <w:tcW w:type="dxa" w:w="2081"/>
          </w:tcPr>
          <w:p>
            <w:r/>
            <w:r>
              <w:rPr>
                <w:sz w:val="18"/>
              </w:rPr>
              <w:t>38</w:t>
            </w:r>
          </w:p>
        </w:tc>
        <w:tc>
          <w:tcPr>
            <w:tcW w:type="dxa" w:w="2081"/>
          </w:tcPr>
          <w:p>
            <w:r/>
            <w:r>
              <w:rPr>
                <w:sz w:val="18"/>
              </w:rPr>
              <w:t>39</w:t>
            </w:r>
          </w:p>
        </w:tc>
        <w:tc>
          <w:tcPr>
            <w:tcW w:type="dxa" w:w="2081"/>
          </w:tcPr>
          <w:p>
            <w:r/>
            <w:r>
              <w:rPr>
                <w:sz w:val="18"/>
              </w:rPr>
              <w:t>4</w:t>
            </w:r>
          </w:p>
        </w:tc>
        <w:tc>
          <w:tcPr>
            <w:tcW w:type="dxa" w:w="2081"/>
          </w:tcPr>
          <w:p>
            <w:r/>
            <w:r>
              <w:rPr>
                <w:sz w:val="18"/>
              </w:rPr>
              <w:t>0</w:t>
            </w:r>
          </w:p>
        </w:tc>
      </w:tr>
      <w:tr>
        <w:tc>
          <w:tcPr>
            <w:tcW w:type="dxa" w:w="2081"/>
          </w:tcPr>
          <w:p>
            <w:r/>
            <w:r>
              <w:rPr>
                <w:b/>
                <w:sz w:val="18"/>
              </w:rPr>
              <w:t>Totales del plan</w:t>
            </w:r>
          </w:p>
        </w:tc>
        <w:tc>
          <w:tcPr>
            <w:tcW w:type="dxa" w:w="2081"/>
          </w:tcPr>
          <w:p>
            <w:r/>
            <w:r>
              <w:rPr>
                <w:b/>
                <w:sz w:val="18"/>
              </w:rPr>
              <w:t>17</w:t>
            </w:r>
          </w:p>
        </w:tc>
        <w:tc>
          <w:tcPr>
            <w:tcW w:type="dxa" w:w="2081"/>
          </w:tcPr>
          <w:p>
            <w:r/>
            <w:r>
              <w:rPr>
                <w:b/>
                <w:sz w:val="18"/>
              </w:rPr>
              <w:t>13</w:t>
            </w:r>
          </w:p>
        </w:tc>
        <w:tc>
          <w:tcPr>
            <w:tcW w:type="dxa" w:w="2081"/>
          </w:tcPr>
          <w:p>
            <w:r/>
            <w:r>
              <w:rPr>
                <w:b/>
                <w:sz w:val="18"/>
              </w:rPr>
              <w:t>40</w:t>
            </w:r>
          </w:p>
        </w:tc>
        <w:tc>
          <w:tcPr>
            <w:tcW w:type="dxa" w:w="2081"/>
          </w:tcPr>
          <w:p>
            <w:r/>
            <w:r>
              <w:rPr>
                <w:b/>
                <w:sz w:val="18"/>
              </w:rPr>
              <w:t>23</w:t>
            </w:r>
          </w:p>
        </w:tc>
        <w:tc>
          <w:tcPr>
            <w:tcW w:type="dxa" w:w="2081"/>
          </w:tcPr>
          <w:p>
            <w:r/>
            <w:r>
              <w:rPr>
                <w:b/>
                <w:sz w:val="18"/>
              </w:rPr>
              <w:t>3</w:t>
            </w:r>
          </w:p>
        </w:tc>
        <w:tc>
          <w:tcPr>
            <w:tcW w:type="dxa" w:w="2081"/>
          </w:tcPr>
          <w:p>
            <w:r/>
            <w:r>
              <w:rPr>
                <w:b/>
                <w:sz w:val="18"/>
              </w:rPr>
              <w:t>0</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