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GRADO/MÁSTER EN: GRADO EN INGENIERÍA EN DISEÑO INDUSTRIAL Y DESARROLLO DEL PRODUCTO</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Escuela Superior de Ingeniería (Universidad de Cádiz)</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2502561</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Graduado o Graduada en Ingeniería en Diseño Industrial y Desarrollo del Producto por la Universidad de Cádiz</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2011-2012</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https://esingenieria.uca.es/docencia/grados/gididp/</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r>
              <w:t>X</w:t>
            </w: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Doble Grado en Ingeniería Mecánica e Ingeniería en Diseño Industrial y Desarrollo del Producto (PCEO, plan 1724). Escuela Superior de Ingeniería</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17/07/2023</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ESI: No (las prácticas externas se ofertan con carácter optativo)</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ESI: No</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pPr>
        <w:pStyle w:val="AGAETexto"/>
      </w:pPr>
      <w:r>
        <w:rPr>
          <w:color w:val="000000"/>
        </w:rPr>
        <w:t>Los indicadores del proceso P01 – Difusión de la Información correspondientes al título y al centro se recogen en el Anexo I de este autoinforme. La serie de los cursos 2020-21 a 2023-24 se ha consolidado desde el Autoinforme de Seguimiento del curso 23/24, aprobado por la Comisión de Garantía de Calidad el 08/04/2025 y por la Junta de Centro el 11/04/2025; los valores del curso 2024-25 se han extraído del Sistema de Información de la UCA (LinceBI, https://data.uca.es/lincebi/), entorno de producción, con fecha 26/07/2026. Conviene recordar que los indicadores del SGC son dinámicos y el sistema los recalcula periódicamente.</w:t>
      </w:r>
    </w:p>
    <w:p>
      <w:pPr>
        <w:pStyle w:val="AGAETexto"/>
      </w:pPr>
      <w:r>
        <w:rPr>
          <w:color w:val="000000"/>
        </w:rPr>
        <w:t>ISGC-P01-01: Grado de satisfacción del alumnado con la información publicada del Título. El indicador se sitúa en 2024-25 en 3,23 sobre 5, tras el máximo del curso anterior (3,57). La serie (3,28 | 3,08 | 3,39 | 3,57 | 3,23) muestra un valor estable por encima de 3, si bien este curso queda por debajo del promedio del centro (3,37) y de la UCA (3,49). Interpretamos el descenso como consecuencia de la escasa actualización de contenidos de la web del título durante el curso; dado que la Recomendación 1.1 del informe de ACCUA de 05/07/2023 solicita precisamente mejorar el acceso a la información, se refuerza la acción de mejora de revisión y difusión de la información pública (AM-ESI-1.1).</w:t>
      </w:r>
    </w:p>
    <w:p>
      <w:pPr>
        <w:pStyle w:val="AGAETexto"/>
      </w:pPr>
      <w:r>
        <w:rPr>
          <w:color w:val="000000"/>
        </w:rPr>
        <w:t>ISGC-P01-02: Grado de satisfacción del PDI con la información publicada del Título. El indicador se mantiene en valores altos, con 3,94 sobre 5 en 2024-25 y una serie de 4,17 | 3,94 | 4,44 | 3,78 | 3,94, próxima a la del centro (4,29) y a la de la UCA (4,25). Consideramos que el profesorado dispone de la información necesaria para la planificación y el desarrollo de la docencia. En cumplimiento de la Subsanación 1.1 de ACCUA, la web del título publica la descripción de los perfiles básicos del profesorado (Plan de estudios &gt; Profesorado).</w:t>
      </w:r>
    </w:p>
    <w:p>
      <w:pPr>
        <w:pStyle w:val="AGAETexto"/>
      </w:pPr>
      <w:r>
        <w:rPr>
          <w:color w:val="000000"/>
        </w:rPr>
        <w:t>ISGC-P01-03: Grado de satisfacción del PTGAS con la información publicada del Centro. Siguiendo la recomendación de ACCUA, este indicador se analiza a nivel de centro y no de título: su valor en 2024-25 es de 3,64 sobre 5, con una serie estable (3,72 | 3,86 | 3,70 | 3,69 | 3,64) equivalente a la media de la UCA (3,67). El leve descenso continuado se trasladará a la Dirección del centro para su seguimiento.</w:t>
      </w:r>
    </w:p>
    <w:p>
      <w:pPr>
        <w:pStyle w:val="AGAETexto"/>
      </w:pPr>
      <w:r>
        <w:rPr>
          <w:color w:val="000000"/>
        </w:rPr>
        <w:t>En cuanto a la participación en las encuestas, atendiendo a la Recomendación 2.1 del informe de ACCUA, se hace constar la tasa de respuesta de cada colectivo en el curso 2024-25: alumnado 23,87% (ISGC-P07-01_01), PDI 25,71% (ISGC-P07-01_02) y egresados 7,14% de la cohorte 2022-23 —2 encuestas de 28 egresados— (ISGC-P07-01_03).</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PF-ESI-1.1.- La información pública del título está completa y centralizada en la web de la Escuela Superior de Ingeniería y en el Sistema de Información del Título, con las guías docentes publicadas antes del inicio de cada curso.</w:t>
              <w:br/>
              <w:t>- PF-ESI-1.2.- La satisfacción del PDI con la información publicada del título se mantiene alta y estable (ISGC-P01-02: 3,94 sobre 5 en 2024-25), en línea con el valor del centro (4,29).</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 1: PD-ESI-1.1.- La satisfacción del alumnado con la información publicada del título (ISGC-P01-01) ha descendido de 3,57 a 3,23 sobre 5 en el último curso, situándose por debajo del centro (3,37) y de la UCA (3,49).</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Acción de mejora nº 1: AM-ESI-1.1.- Revisar y actualizar la sección web del título (perfil de ingreso, itinerarios, TFG y prácticas), difundir los cambios en las sesiones de acogida y en el Campus Virtual, y comprobar el efecto en el ISGC-P01-01 del curso siguiente.</w:t>
            </w:r>
          </w:p>
        </w:tc>
      </w:tr>
      <w:tr w:rsidR="00BB7AF6" w:rsidRPr="00037BD7" w14:paraId="2FC9A680" w14:textId="77777777" w:rsidTr="006E278F">
        <w:trPr>
          <w:jc w:val="center"/>
        </w:trPr>
        <w:tc>
          <w:tcPr>
            <w:tcW w:w="2591" w:type="pct"/>
            <w:tcBorders>
              <w:bottom w:val="single" w:sz="4" w:space="0" w:color="auto"/>
            </w:tcBorders>
            <w:shd w:val="clear" w:color="auto" w:fill="auto"/>
            <w:vAlign w:val="center"/>
          </w:tcPr>
          <w:p w14:paraId="7AACBAF6"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037BD7">
              <w:rPr>
                <w:rFonts w:asciiTheme="minorHAnsi" w:hAnsiTheme="minorHAnsi"/>
                <w:i/>
                <w:sz w:val="18"/>
                <w:szCs w:val="18"/>
              </w:rPr>
            </w:r>
          </w:p>
        </w:tc>
        <w:tc>
          <w:tcPr>
            <w:tcW w:w="2409" w:type="pct"/>
            <w:tcBorders>
              <w:bottom w:val="single" w:sz="4" w:space="0" w:color="auto"/>
            </w:tcBorders>
            <w:shd w:val="clear" w:color="auto" w:fill="auto"/>
            <w:vAlign w:val="center"/>
          </w:tcPr>
          <w:p w14:paraId="4F8D6B5F"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pPr>
        <w:pStyle w:val="AGAETexto"/>
      </w:pPr>
      <w:r>
        <w:rPr>
          <w:color w:val="000000"/>
        </w:rPr>
        <w:t>El título aplica el Sistema de Garantía de Calidad de los títulos oficiales de la Universidad de Cádiz, cuyos procesos P02 (revisión de la gestión de la calidad) y P03 (diseño, seguimiento y mejora de los programas formativos) articulan la revisión anual del programa formativo. La composición actualizada de la Comisión de Garantía de Calidad de la Escuela Superior de Ingeniería, su reglamento de funcionamiento y las actas de sus sesiones se encuentran publicados en la web del centro, a la que se remite en lugar de reproducir aquí la relación nominal de sus miembros.</w:t>
      </w:r>
    </w:p>
    <w:p>
      <w:pPr>
        <w:pStyle w:val="AGAETexto"/>
      </w:pPr>
      <w:r>
        <w:rPr>
          <w:color w:val="000000"/>
        </w:rPr>
        <w:t>El seguimiento anual del título se apoya en los indicadores ISGC disponibles en el Sistema de Información de la UCA (LinceBI), lo que permite un análisis homogéneo, comparable con el centro y con la Universidad, y trazable entre cursos. La CGC analiza estos indicadores, aprueba el autoinforme de seguimiento y eleva el plan de mejora a la Junta de Centro.</w:t>
      </w:r>
    </w:p>
    <w:p>
      <w:pPr>
        <w:pStyle w:val="AGAETexto"/>
      </w:pPr>
      <w:r>
        <w:rPr>
          <w:color w:val="000000"/>
        </w:rPr>
        <w:t>El título superó el proceso de renovación de la acreditación en el curso 2022-23, con informe favorable de ACCUA de 05/07/2023 y resolución de renovación de 17/07/2023. Ese informe recogió ocho aspectos que debían ser subsanados y seis recomendaciones para la mejora del título, que se reproducen en la tabla siguiente junto con las acciones desarrolladas y el estado de cada una a la vista de los indicadores del curso 2024-25. De las catorce, consideramos resueltas cuatro (Subsanación 1.1 y Recomendaciones 2.1, 4.1 y 6.2), parcialmente resueltas cinco (Subsanaciones 1.2, 3.1 y 5.1 y Recomendaciones 1.1 y 6.1) y no resueltas cinco (Subsanaciones 2.1, 6.1, 7.1 y 7.2 y Recomendación 3.1). Todas las que no están resueltas se mantienen, con su acción de mejora, en el Plan de Mejora de este autoinforme, y se conservarán en la tabla hasta que la agencia las dé por cerradas.</w:t>
      </w:r>
    </w:p>
    <w:p>
      <w:pPr>
        <w:pStyle w:val="AGAETexto"/>
      </w:pPr>
      <w:r>
        <w:rPr>
          <w:color w:val="000000"/>
        </w:rPr>
        <w:t>Respecto al plan de mejora del autoinforme del curso 23/24, se mantienen sin resolver el desarrollo del SGC propio del centro y del cuadro de mandos de indicadores (PD-ESI-1.1 y PD-ESI-2.1), vinculados al programa IMPLANTA de acreditación institucional, y la baja participación de los grupos de interés en las encuestas de satisfacción (PD-ESI-1.2). Se considera parcialmente resuelto el establecimiento de procedimientos formales de coordinación con actas (PD-ESI-3.2), mediante el curso de coordinación del Campus Virtual, y no resuelta la mejora de la satisfacción del alumnado con la coordinación docente (PD-ESI-3.1 y PD-ESI-3.3), cuyo indicador ha vuelto a descender en 2024-25. Todos ellos se arrastran al Plan de Mejora.</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PF-ESI-2.1.- El título aplica el Sistema de Garantía de Calidad de los títulos de la UCA, con una CGC activa cuya composición, reglamento y actas están publicados en la web del centro, y superó la renovación de la acreditación con informe favorable de ACCUA de 05/07/2023.</w:t>
              <w:br/>
              <w:t>- PF-ESI-2.2.- De las catorce subsanaciones y recomendaciones del informe de ACCUA, cuatro se consideran resueltas y cinco parcialmente resueltas, con acciones documentadas en el plan de mejora (perfiles del profesorado publicados, curso de coordinación en el Campus Virtual, ampliación de convenios de movilidad y refuerzo de la participación del profesorado en DOCENTIA e innovación docente).</w:t>
              <w:br/>
              <w:t>- PF-ESI-2.3.- El centro dispone del Buzón de Atención al Usuario (BAU) como ventanilla única de quejas, incidencias, sugerencias y felicitaciones, con indicadores de seguimiento en el Anexo I.</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PD-ESI-2.1.- El SGC propio del centro sigue en fase de desarrollo y no se dispone de un cuadro de mandos que permita valorar de forma rápida la consecución de los objetivos de calidad; tampoco existe un registro histórico del plan de mejora con revisión periódica establecida (debilidad arrastrada del autoinforme 23/24).</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AM-ESI-2.1.- Continuar el desarrollo del SGC del centro en el marco del programa IMPLANTA de acreditación institucional, avanzar en el cuadro de mandos de indicadores del centro y establecer una revisión periódica documentada del plan de mejora en la CGC.</w:t>
            </w:r>
          </w:p>
        </w:tc>
      </w:tr>
      <w:tr w:rsidR="00BB7AF6" w:rsidRPr="00EA51D0" w14:paraId="109965E6" w14:textId="77777777" w:rsidTr="00D82372">
        <w:trPr>
          <w:jc w:val="center"/>
        </w:trPr>
        <w:tc>
          <w:tcPr>
            <w:tcW w:w="2722" w:type="pct"/>
            <w:tcBorders>
              <w:bottom w:val="single" w:sz="4" w:space="0" w:color="auto"/>
            </w:tcBorders>
            <w:shd w:val="clear" w:color="auto" w:fill="auto"/>
            <w:vAlign w:val="center"/>
          </w:tcPr>
          <w:p w14:paraId="74AAE42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PD-ESI-2.2.- Cinco de las catorce subsanaciones y recomendaciones del informe de ACCUA de 05/07/2023 siguen sin resolverse (Subsanaciones 2.1, 6.1, 7.1 y 7.2 y Recomendación 3.1), al depender de procedimientos institucionales aún no implantados o de indicadores que no han mejorado.</w:t>
            </w:r>
          </w:p>
        </w:tc>
        <w:tc>
          <w:tcPr>
            <w:tcW w:w="2278" w:type="pct"/>
            <w:tcBorders>
              <w:bottom w:val="single" w:sz="4" w:space="0" w:color="auto"/>
            </w:tcBorders>
            <w:shd w:val="clear" w:color="auto" w:fill="auto"/>
            <w:vAlign w:val="center"/>
          </w:tcPr>
          <w:p w14:paraId="5AFF58F9"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AM-ESI-2.2.- Mantener en el plan de mejora todas las recomendaciones no resueltas, con responsable, fechas e indicador de seguimiento, y revisar su estado en cada sesión de la CGC hasta que la agencia las dé por cerradas.</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05/07/2023 — Informe de renovación de la acreditación del título (ACCUA). Fecha de la resolución de renovación: 17/07/2023.</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Subsanación 1.1.- Se debe publicar una descripción del perfil básico del profesorado.</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Se publicó en la web del título (Plan de estudios &gt; Profesorado) un documento PDF con la descripción de los perfiles básicos del profesorado. Se mantiene actualizado cada curso. Estado: RESUELTA.</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Subsanación 1.2.- Se deben introducir mecanismos para que la página web cuente con mecanismos de accesibilidad para personas con diversidad funcional.</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Se han mantenido reuniones con los responsables y gestores de la web institucional. Los sitios web de la UCA utilizan el tema institucional para WordPress, alineado con las directrices de accesibilidad, pero no se han incorporado mecanismos específicos adicionales en el curso 2024-25. Estado: PARCIALMENTE RESUELTA — se mantiene en el plan de mejora.</w:t>
            </w:r>
          </w:p>
        </w:tc>
      </w:tr>
      <w:tr>
        <w:tc>
          <w:tcPr>
            <w:tcW w:type="dxa" w:w="1354"/>
          </w:tcPr>
          <w:p>
            <w:r/>
          </w:p>
        </w:tc>
        <w:tc>
          <w:tcPr>
            <w:tcW w:type="dxa" w:w="4122"/>
          </w:tcPr>
          <w:p>
            <w:r>
              <w:t>Recomendación 1.1.- Se recomienda mejorar el acceso a la información a través de la web de la UCA haciéndolo más intuitivo.</w:t>
            </w:r>
          </w:p>
        </w:tc>
        <w:tc>
          <w:tcPr>
            <w:tcW w:type="dxa" w:w="4520"/>
          </w:tcPr>
          <w:p>
            <w:r>
              <w:t>Se sigue aportando información y mejoras de estructura en la web del centro y del título de forma paulatina. El indicador ISGC-P01-01 ha descendido a 3,23 sobre 5 en 2024-25, por lo que la acción se refuerza (AM-ESI-1.1). Estado: PARCIALMENTE RESUELTA.</w:t>
            </w:r>
          </w:p>
        </w:tc>
      </w:tr>
      <w:tr>
        <w:tc>
          <w:tcPr>
            <w:tcW w:type="dxa" w:w="1354"/>
          </w:tcPr>
          <w:p>
            <w:r/>
          </w:p>
        </w:tc>
        <w:tc>
          <w:tcPr>
            <w:tcW w:type="dxa" w:w="4122"/>
          </w:tcPr>
          <w:p>
            <w:r>
              <w:t>Subsanación 2.1.- Se deben poner en marcha acciones para implantar, de manera efectiva, procedimientos para la realización de prospectivas y recogida de datos sistemática de empleadores (y aumentar las de egresados) y para tener en cuenta su opinión en la gestión y garantía de calidad del título.</w:t>
            </w:r>
          </w:p>
        </w:tc>
        <w:tc>
          <w:tcPr>
            <w:tcW w:type="dxa" w:w="4520"/>
          </w:tcPr>
          <w:p>
            <w:r>
              <w:t>Se incorporó el correo personal de matriculación como canal de envío de las encuestas de egresados. Sin embargo, la tasa de respuesta de egresados de la cohorte 2022-23 ha caído al 7,14% y sigue sin existir encuesta institucional de empleadores. Estado: NO RESUELTA — se mantiene en el plan de mejora (AM-ESI-7.2 y AM-ESI-7.3).</w:t>
            </w:r>
          </w:p>
        </w:tc>
      </w:tr>
      <w:tr>
        <w:tc>
          <w:tcPr>
            <w:tcW w:type="dxa" w:w="1354"/>
          </w:tcPr>
          <w:p>
            <w:r/>
          </w:p>
        </w:tc>
        <w:tc>
          <w:tcPr>
            <w:tcW w:type="dxa" w:w="4122"/>
          </w:tcPr>
          <w:p>
            <w:r>
              <w:t>Recomendación 2.1.- Se recomienda seguir con las acciones para aportar más información del grado de satisfacción de los usuarios, atendiendo las recomendaciones del proceso de acreditación anterior.</w:t>
            </w:r>
          </w:p>
        </w:tc>
        <w:tc>
          <w:tcPr>
            <w:tcW w:type="dxa" w:w="4520"/>
          </w:tcPr>
          <w:p>
            <w:r>
              <w:t>Este autoinforme incorpora, junto a los valores de satisfacción, las tasas de respuesta de cada colectivo (ISGC-P07-01_01: 23,87% alumnado; ISGC-P07-01_02: 25,71% PDI; ISGC-P07-01_03: 7,14% egresados, con el número de encuestas y de egresados). Estado: RESUELTA.</w:t>
            </w:r>
          </w:p>
        </w:tc>
      </w:tr>
      <w:tr>
        <w:tc>
          <w:tcPr>
            <w:tcW w:type="dxa" w:w="1354"/>
          </w:tcPr>
          <w:p>
            <w:r/>
          </w:p>
        </w:tc>
        <w:tc>
          <w:tcPr>
            <w:tcW w:type="dxa" w:w="4122"/>
          </w:tcPr>
          <w:p>
            <w:r>
              <w:t>Subsanación 3.1.- Se deben establecer procedimientos formales de coordinación del título y disponer de actas y acuerdos de las reuniones.</w:t>
            </w:r>
          </w:p>
        </w:tc>
        <w:tc>
          <w:tcPr>
            <w:tcW w:type="dxa" w:w="4520"/>
          </w:tcPr>
          <w:p>
            <w:r>
              <w:t>Se ha habilitado el curso del Campus Virtual con los coordinadores de asignatura como medio formal de coordinación y registro, y se levanta acta de las reuniones de coordinación por curso. El indicador ISGC-P04-10 ha bajado a 2,81 sobre 5, por lo que la acción se refuerza (AM-ESI-3.1). Estado: PARCIALMENTE RESUELTA.</w:t>
            </w:r>
          </w:p>
        </w:tc>
      </w:tr>
      <w:tr>
        <w:tc>
          <w:tcPr>
            <w:tcW w:type="dxa" w:w="1354"/>
          </w:tcPr>
          <w:p>
            <w:r/>
          </w:p>
        </w:tc>
        <w:tc>
          <w:tcPr>
            <w:tcW w:type="dxa" w:w="4122"/>
          </w:tcPr>
          <w:p>
            <w:r>
              <w:t>Recomendación 3.1.- Se recomienda continuar implementando acciones en aras a incrementar la satisfacción del estudiantado con la movilidad.</w:t>
            </w:r>
          </w:p>
        </w:tc>
        <w:tc>
          <w:tcPr>
            <w:tcW w:type="dxa" w:w="4520"/>
          </w:tcPr>
          <w:p>
            <w:r>
              <w:t>Se han mantenido las jornadas de información y orientación sobre movilidad. El indicador ISGC-P04-15 se mantiene en 2,73 sobre 5, por debajo del centro y de la UCA. Estado: NO RESUELTA — se mantiene en el plan de mejora (AM-ESI-5.2).</w:t>
            </w:r>
          </w:p>
        </w:tc>
      </w:tr>
      <w:tr>
        <w:tc>
          <w:tcPr>
            <w:tcW w:type="dxa" w:w="1354"/>
          </w:tcPr>
          <w:p>
            <w:r/>
          </w:p>
        </w:tc>
        <w:tc>
          <w:tcPr>
            <w:tcW w:type="dxa" w:w="4122"/>
          </w:tcPr>
          <w:p>
            <w:r>
              <w:t>Recomendación 4.1.- Se recomienda seguir potenciando la participación del profesorado en acciones formativas, proyectos de innovación y actividades de mejora docente y en el programa DOCENTIA; y seguir con acciones para favorecer la dedicación a la investigación del profesorado, de manera que se alcance la obtención de mayor número de sexenios.</w:t>
            </w:r>
          </w:p>
        </w:tc>
        <w:tc>
          <w:tcPr>
            <w:tcW w:type="dxa" w:w="4520"/>
          </w:tcPr>
          <w:p>
            <w:r>
              <w:t>En 2024-25 la participación en acciones formativas (ISGC-P05-02: 43,75%) y en proyectos de innovación (ISGC-P05-03: 43,75%) supera a la del centro y de la UCA, la participación en DOCENTIA alcanza el máximo de la serie (ISGC-P05-05: 34,38%) y los sexenios del profesorado del título han pasado de 30 (2020-21) a 48 (2024-25). Estado: RESUELTA.</w:t>
            </w:r>
          </w:p>
        </w:tc>
      </w:tr>
      <w:tr>
        <w:tc>
          <w:tcPr>
            <w:tcW w:type="dxa" w:w="1354"/>
          </w:tcPr>
          <w:p>
            <w:r/>
          </w:p>
        </w:tc>
        <w:tc>
          <w:tcPr>
            <w:tcW w:type="dxa" w:w="4122"/>
          </w:tcPr>
          <w:p>
            <w:r>
              <w:t>Subsanación 5.1.- Se deben poner en marcha acciones para disponer, institucionalmente, de suficiente oferta de movilidad para que la puedan llevar a cabo todos los alumnos demandantes, y promover y fomentar, particularmente, la movilidad saliente; así como acciones para incrementar la satisfacción con la movilidad de los alumnos que la realizan.</w:t>
            </w:r>
          </w:p>
        </w:tc>
        <w:tc>
          <w:tcPr>
            <w:tcW w:type="dxa" w:w="4520"/>
          </w:tcPr>
          <w:p>
            <w:r>
              <w:t>Se ha ampliado el número de convenios con universidades extranjeras y se ha reforzado la difusión. La movilidad saliente internacional del título (2,61%) supera la del centro (1,60%), pero la satisfacción del alumnado participante (ISGC-P04-15: 2,73) no mejora. Estado: PARCIALMENTE RESUELTA — se mantiene la parte de satisfacción (AM-ESI-5.2).</w:t>
            </w:r>
          </w:p>
        </w:tc>
      </w:tr>
      <w:tr>
        <w:tc>
          <w:tcPr>
            <w:tcW w:type="dxa" w:w="1354"/>
          </w:tcPr>
          <w:p>
            <w:r/>
          </w:p>
        </w:tc>
        <w:tc>
          <w:tcPr>
            <w:tcW w:type="dxa" w:w="4122"/>
          </w:tcPr>
          <w:p>
            <w:r>
              <w:t>Subsanación 6.1.- Se deben implementar acciones orientadas a la mejora de la tasa de graduación y a la reducción del promedio de años de duración del estudio, adecuándolos a lo indicado en la memoria de verificación.</w:t>
            </w:r>
          </w:p>
        </w:tc>
        <w:tc>
          <w:tcPr>
            <w:tcW w:type="dxa" w:w="4520"/>
          </w:tcPr>
          <w:p>
            <w:r>
              <w:t>Se han realizado sesiones formativas sobre el TFG y el análisis de causas. La tasa de graduación de 2024-25 (14,9%) sigue por debajo del objetivo de la memoria (20±5%) y la duración media se mantiene en 6,3 años, con un 40% de no presentados en el Proyecto Fin de Grado. Estado: NO RESUELTA — se mantiene en el plan de mejora (AM-ESI-6.1).</w:t>
            </w:r>
          </w:p>
        </w:tc>
      </w:tr>
      <w:tr>
        <w:tc>
          <w:tcPr>
            <w:tcW w:type="dxa" w:w="1354"/>
          </w:tcPr>
          <w:p>
            <w:r/>
          </w:p>
        </w:tc>
        <w:tc>
          <w:tcPr>
            <w:tcW w:type="dxa" w:w="4122"/>
          </w:tcPr>
          <w:p>
            <w:r>
              <w:t>Recomendación 6.1.- Se recomienda continuar implementando acciones de mejora, que sean eficaces, para aumentar la tasa de rendimiento del Trabajo Fin de Grado.</w:t>
            </w:r>
          </w:p>
        </w:tc>
        <w:tc>
          <w:tcPr>
            <w:tcW w:type="dxa" w:w="4520"/>
          </w:tcPr>
          <w:p>
            <w:r>
              <w:t>Sesiones formativas específicas sobre el TFG y análisis de causas. En 2024-25 el Proyecto Fin de Grado presenta un 40% de no presentados, con un 1% de suspensos entre los evaluados. Estado: PARCIALMENTE RESUELTA — se refuerza con el seguimiento nominal del alumnado con TFG pendiente (AM-ESI-6.1).</w:t>
            </w:r>
          </w:p>
        </w:tc>
      </w:tr>
      <w:tr>
        <w:tc>
          <w:tcPr>
            <w:tcW w:type="dxa" w:w="1354"/>
          </w:tcPr>
          <w:p>
            <w:r/>
          </w:p>
        </w:tc>
        <w:tc>
          <w:tcPr>
            <w:tcW w:type="dxa" w:w="4122"/>
          </w:tcPr>
          <w:p>
            <w:r>
              <w:t>Recomendación 6.2.- Se recomienda realizar un seguimiento minucioso de la tasa de abandono, con el fin de determinar por qué se generan en algunos cursos valores que se distancian de lo indicado en la memoria de verificación.</w:t>
            </w:r>
          </w:p>
        </w:tc>
        <w:tc>
          <w:tcPr>
            <w:tcW w:type="dxa" w:w="4520"/>
          </w:tcPr>
          <w:p>
            <w:r>
              <w:t>El seguimiento se mantiene en la CGC. La tasa de abandono se ha reducido del 34,5% (2020-21) al 17,0% (2024-25), dentro del objetivo de la memoria (20±5%) y muy por debajo del centro (32,4%). Estado: RESUELTA.</w:t>
            </w:r>
          </w:p>
        </w:tc>
      </w:tr>
      <w:tr>
        <w:tc>
          <w:tcPr>
            <w:tcW w:type="dxa" w:w="1354"/>
          </w:tcPr>
          <w:p>
            <w:r/>
          </w:p>
        </w:tc>
        <w:tc>
          <w:tcPr>
            <w:tcW w:type="dxa" w:w="4122"/>
          </w:tcPr>
          <w:p>
            <w:r>
              <w:t>Subsanación 7.1.- Se deben implantar procedimientos institucionalizados de contacto, seguimiento de la actividad laboral y toma de opinión de empleadores y egresados.</w:t>
            </w:r>
          </w:p>
        </w:tc>
        <w:tc>
          <w:tcPr>
            <w:tcW w:type="dxa" w:w="4520"/>
          </w:tcPr>
          <w:p>
            <w:r>
              <w:t>Se dispone de la valoración de las entidades colaboradoras sobre el desempeño del alumnado en prácticas (ISGC-P04-13: 4,66 sobre 5), pero el procedimiento institucional de consulta a empleadores sigue en implantación y no hay resultados para el título. Estado: NO RESUELTA — se mantiene en el plan de mejora (AM-ESI-7.3).</w:t>
            </w:r>
          </w:p>
        </w:tc>
      </w:tr>
      <w:tr>
        <w:tc>
          <w:tcPr>
            <w:tcW w:type="dxa" w:w="1354"/>
          </w:tcPr>
          <w:p>
            <w:r/>
          </w:p>
        </w:tc>
        <w:tc>
          <w:tcPr>
            <w:tcW w:type="dxa" w:w="4122"/>
          </w:tcPr>
          <w:p>
            <w:r>
              <w:t>Subsanación 7.2.- Se deben poner en marcha acciones para mejorar el grado de satisfacción del alumnado con los programas y actividades de apoyo y orientación académica y profesional y para que hagan uso de los recursos a su disposición.</w:t>
            </w:r>
          </w:p>
        </w:tc>
        <w:tc>
          <w:tcPr>
            <w:tcW w:type="dxa" w:w="4520"/>
          </w:tcPr>
          <w:p>
            <w:r>
              <w:t>Se han difundido los eventos de orientación, el Plan Integral de Formación para el Empleo y se ha desarrollado el Plan de Acción Tutorial vinculado al PROA. Tras la mejora de 2023-24, los indicadores han retrocedido en 2024-25 (ISGC-P06-01: 2,76; ISGC-P06-02: 2,61). Estado: NO RESUELTA — se mantiene en el plan de mejora (AM-ESI-7.1).</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206EE4E8" w14:textId="7C1308AD" w:rsidR="000A6DF3" w:rsidRPr="00EA51D0" w:rsidRDefault="00156EE2" w:rsidP="000A6DF3">
            <w:pPr>
              <w:pStyle w:val="Prrafodelista"/>
              <w:spacing w:after="120" w:line="240" w:lineRule="auto"/>
              <w:ind w:left="360"/>
              <w:jc w:val="both"/>
              <w:rPr>
                <w:rStyle w:val="Hipervnculo"/>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fldChar w:fldCharType="begin"/>
            </w:r>
            <w:r w:rsidR="00A57666" w:rsidRPr="00EA51D0">
              <w:rPr>
                <w:rFonts w:asciiTheme="minorHAnsi" w:hAnsiTheme="minorHAnsi" w:cstheme="minorHAnsi"/>
                <w:bCs/>
                <w:i/>
                <w:color w:val="FF0000"/>
                <w:sz w:val="20"/>
                <w:szCs w:val="20"/>
              </w:rPr>
              <w:instrText>HYPERLINK "C:\\Users\\Juanma\\AppData\\Local\\Microsoft\\Windows\\INetCache\\Content.Outlook\\6Q9THQHQ\\Dimension_Criterio_Subcriterio_DEVA_GM.docx"</w:instrText>
            </w:r>
            <w:r w:rsidRPr="00EA51D0">
              <w:rPr>
                <w:rFonts w:asciiTheme="minorHAnsi" w:hAnsiTheme="minorHAnsi" w:cstheme="minorHAnsi"/>
                <w:bCs/>
                <w:i/>
                <w:color w:val="FF0000"/>
                <w:sz w:val="20"/>
                <w:szCs w:val="20"/>
              </w:rPr>
              <w:fldChar w:fldCharType="separate"/>
            </w:r>
            <w:r w:rsidR="000A6DF3" w:rsidRPr="00EA51D0">
              <w:rPr>
                <w:rStyle w:val="Hipervnculo"/>
                <w:rFonts w:asciiTheme="minorHAnsi" w:hAnsiTheme="minorHAnsi" w:cstheme="minorHAnsi"/>
                <w:bCs/>
                <w:i/>
                <w:color w:val="FF0000"/>
                <w:sz w:val="20"/>
                <w:szCs w:val="20"/>
              </w:rPr>
              <w:t xml:space="preserve">[Para cumplimentar los apartados de los </w:t>
            </w:r>
            <w:proofErr w:type="spellStart"/>
            <w:r w:rsidR="000A6DF3" w:rsidRPr="00EA51D0">
              <w:rPr>
                <w:rStyle w:val="Hipervnculo"/>
                <w:rFonts w:asciiTheme="minorHAnsi" w:hAnsiTheme="minorHAnsi" w:cstheme="minorHAnsi"/>
                <w:bCs/>
                <w:i/>
                <w:color w:val="FF0000"/>
                <w:sz w:val="20"/>
                <w:szCs w:val="20"/>
              </w:rPr>
              <w:t>subcriterios</w:t>
            </w:r>
            <w:proofErr w:type="spellEnd"/>
            <w:r w:rsidR="000A6DF3" w:rsidRPr="00EA51D0">
              <w:rPr>
                <w:rStyle w:val="Hipervnculo"/>
                <w:rFonts w:asciiTheme="minorHAnsi" w:hAnsiTheme="minorHAnsi" w:cstheme="minorHAnsi"/>
                <w:bCs/>
                <w:i/>
                <w:color w:val="FF0000"/>
                <w:sz w:val="20"/>
                <w:szCs w:val="20"/>
              </w:rPr>
              <w:t xml:space="preserve"> consultar apartado directrices del </w:t>
            </w:r>
            <w:r w:rsidR="00C6358C" w:rsidRPr="00EA51D0">
              <w:rPr>
                <w:rStyle w:val="Hipervnculo"/>
                <w:rFonts w:asciiTheme="minorHAnsi" w:hAnsiTheme="minorHAnsi" w:cstheme="minorHAnsi"/>
                <w:bCs/>
                <w:i/>
                <w:color w:val="FF0000"/>
                <w:sz w:val="20"/>
                <w:szCs w:val="20"/>
              </w:rPr>
              <w:t>d</w:t>
            </w:r>
            <w:r w:rsidR="000A6DF3" w:rsidRPr="00EA51D0">
              <w:rPr>
                <w:rStyle w:val="Hipervnculo"/>
                <w:rFonts w:asciiTheme="minorHAnsi" w:hAnsiTheme="minorHAnsi" w:cstheme="minorHAnsi"/>
                <w:bCs/>
                <w:i/>
                <w:color w:val="FF0000"/>
                <w:sz w:val="20"/>
                <w:szCs w:val="20"/>
              </w:rPr>
              <w:t xml:space="preserve">ocumento DIMENSIONES, CRITERIOS Y SUBCRITERIOS </w:t>
            </w:r>
            <w:r w:rsidR="00337274" w:rsidRPr="00EA51D0">
              <w:rPr>
                <w:rStyle w:val="Hipervnculo"/>
                <w:rFonts w:asciiTheme="minorHAnsi" w:hAnsiTheme="minorHAnsi" w:cstheme="minorHAnsi"/>
                <w:bCs/>
                <w:i/>
                <w:color w:val="FF0000"/>
                <w:sz w:val="20"/>
                <w:szCs w:val="20"/>
              </w:rPr>
              <w:t>ACCUA</w:t>
            </w:r>
            <w:r w:rsidR="000A6DF3" w:rsidRPr="00EA51D0">
              <w:rPr>
                <w:rStyle w:val="Hipervnculo"/>
                <w:rFonts w:asciiTheme="minorHAnsi" w:hAnsiTheme="minorHAnsi" w:cstheme="minorHAnsi"/>
                <w:bCs/>
                <w:i/>
                <w:color w:val="FF0000"/>
                <w:sz w:val="20"/>
                <w:szCs w:val="20"/>
              </w:rPr>
              <w:t xml:space="preserve"> TITULOS DE GRADO Y MÁSTER]</w:t>
            </w: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pPr>
        <w:pStyle w:val="AGAETexto"/>
      </w:pPr>
      <w:r>
        <w:rPr>
          <w:color w:val="000000"/>
        </w:rPr>
        <w:t>El título se implantó en el curso 2011-2012 y superó el proceso de renovación de la acreditación en el curso 2022-23 (informe de ACCUA de 05/07/2023 y resolución de 17/07/2023), en el que se revisaron todos los aspectos del programa formativo. Su diseño se revisa anualmente en el marco del proceso P03 del SGC: la Comisión de Garantía de Calidad analiza los resultados académicos y de satisfacción, revisa las guías docentes antes del inicio de cada curso y propone, cuando procede, acciones de mejora o modificaciones de la memoria. En el curso 2024-25 no se han producido modificaciones sustanciales del plan de estudios; las actualizaciones se han concentrado en los contenidos y las metodologías de las asignaturas del ámbito del diseño, en línea con la evolución de las herramientas digitales del sector.</w:t>
      </w:r>
    </w:p>
    <w:p>
      <w:pPr>
        <w:pStyle w:val="AGAETexto"/>
      </w:pPr>
      <w:r>
        <w:rPr>
          <w:color w:val="000000"/>
        </w:rPr>
        <w:t>El desarrollo del plan de estudios es coherente con la memoria verificada y con el perfil de competencias del título: 240 ECTS distribuidos en 60 de formación básica, 132 obligatorios, 30 optativos y 18 de Proyecto Fin de Grado, con la optatividad organizada en tres menciones (Diseño Creativo, Gestión del Producto y Multidisciplinar). La estructura mantiene el bloque de formación básica y común de la rama industrial en los dos primeros cursos y el bloque específico de diseño industrial y desarrollo del producto en los cursos superiores, con las prácticas externas —de carácter optativo— y el Proyecto Fin de Grado como materias de integración final.</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pPr>
        <w:pStyle w:val="AGAETexto"/>
      </w:pPr>
      <w:r>
        <w:rPr>
          <w:color w:val="000000"/>
        </w:rPr>
        <w:t>La modalidad de enseñanza del título es presencial, tal como recoge la memoria verificada, y así se desarrolla en todas sus asignaturas, con el apoyo del Campus Virtual de la UCA (Moodle) como plataforma complementaria de la docencia presencial. No se imparten grupos en modalidad híbrida ni virtual.</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4C9B6328" w14:textId="77777777" w:rsidR="000D730B" w:rsidRPr="00EA51D0" w:rsidRDefault="000D730B" w:rsidP="000D730B">
      <w:pPr>
        <w:spacing w:after="0" w:line="240" w:lineRule="auto"/>
        <w:jc w:val="both"/>
        <w:rPr>
          <w:rFonts w:cs="Calibri"/>
          <w:sz w:val="20"/>
          <w:szCs w:val="20"/>
        </w:rPr>
      </w:pP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sz w:val="20"/>
          <w:szCs w:val="20"/>
        </w:rPr>
        <w:t xml:space="preserve">Así mismo, los estudiantes tienen que superar cada curso académico un número de créditos para poder continuar sus estudios. Esto se describe en la </w:t>
      </w:r>
      <w:hyperlink r:id="rId24" w:history="1">
        <w:r w:rsidRPr="00EA51D0">
          <w:rPr>
            <w:rStyle w:val="Hipervnculo"/>
            <w:rFonts w:asciiTheme="minorHAnsi" w:hAnsiTheme="minorHAnsi" w:cstheme="minorHAnsi"/>
            <w:sz w:val="20"/>
            <w:szCs w:val="20"/>
          </w:rPr>
          <w:t>web de la oficina del estudiante</w:t>
        </w:r>
      </w:hyperlink>
      <w:r w:rsidRPr="00EA51D0">
        <w:rPr>
          <w:rStyle w:val="markedcontent"/>
          <w:rFonts w:asciiTheme="minorHAnsi" w:hAnsiTheme="minorHAnsi" w:cstheme="minorHAnsi"/>
          <w:sz w:val="20"/>
          <w:szCs w:val="20"/>
        </w:rPr>
        <w:t xml:space="preserve">, en el </w:t>
      </w:r>
      <w:hyperlink r:id="rId25" w:history="1">
        <w:r w:rsidRPr="00EA51D0">
          <w:rPr>
            <w:rStyle w:val="Hipervnculo"/>
            <w:rFonts w:asciiTheme="minorHAnsi" w:hAnsiTheme="minorHAnsi" w:cstheme="minorHAnsi"/>
            <w:sz w:val="20"/>
            <w:szCs w:val="20"/>
          </w:rPr>
          <w:t>Reglamento por el que se establecen las normas de Progreso y Permanencia para los estudios oficiales de Grado en la Universidad de Cádiz</w:t>
        </w:r>
      </w:hyperlink>
      <w:r w:rsidRPr="00EA51D0">
        <w:rPr>
          <w:rStyle w:val="markedcontent"/>
          <w:rFonts w:asciiTheme="minorHAnsi" w:hAnsiTheme="minorHAnsi" w:cstheme="minorHAnsi"/>
          <w:sz w:val="20"/>
          <w:szCs w:val="20"/>
        </w:rPr>
        <w:t xml:space="preserve"> y en el </w:t>
      </w:r>
      <w:hyperlink r:id="rId26" w:history="1">
        <w:r w:rsidRPr="00EA51D0">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Pr="00EA51D0">
        <w:rPr>
          <w:rFonts w:asciiTheme="minorHAnsi" w:hAnsiTheme="minorHAnsi" w:cstheme="minorHAnsi"/>
          <w:sz w:val="20"/>
          <w:szCs w:val="20"/>
        </w:rPr>
        <w:t>.</w:t>
      </w:r>
    </w:p>
    <w:p>
      <w:pPr>
        <w:pStyle w:val="AGAETexto"/>
      </w:pPr>
      <w:r>
        <w:rPr>
          <w:color w:val="000000"/>
        </w:rPr>
        <w:t>Los procesos de reconocimiento y transferencia de créditos se resuelven conforme al reglamento de la Universidad de Cádiz, mediante informe de la Comisión de Garantía de Calidad del centro y resolución de la Dirección. Los criterios aplicados son públicos y se difunden a través de la web del centro. El número de créditos reconocidos en el curso 2024-25 debe obtenerse del Sistema de Información de la UCA (informe de créditos reconocidos por curso académico y plan de estudios), dato que queda PENDIENTE de incorporación por la coordinación del título.</w:t>
      </w:r>
    </w:p>
    <w:p>
      <w:pPr>
        <w:pStyle w:val="AGAETexto"/>
      </w:pPr>
      <w:r>
        <w:rPr>
          <w:color w:val="000000"/>
        </w:rPr>
        <w:t>La gestión del Proyecto Fin de Grado se realiza a través de la aplicación institucional de TFG/TFM (https://tfgm.uca.es/), conforme al Reglamento Marco de TFG/TFM de la UCA y al reglamento propio del centro, con publicación de líneas y criterios de asignación y evaluación mediante rúbrica. El centro convoca defensas de TFG con periodicidad mensual, lo que facilita la finalización de los estudios. Las normas de permanencia y progreso se aplican según la normativa vigente de la Universidad: el alumnado debe superar cada curso un número mínimo de créditos, información publicada en la web del título. El título no contempla complementos formativos, por lo que este apartado no procede.</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pPr>
        <w:pStyle w:val="AGAETexto"/>
      </w:pPr>
      <w:r>
        <w:rPr>
          <w:color w:val="000000"/>
        </w:rPr>
        <w:t>Los criterios de admisión y el perfil de ingreso son los establecidos con carácter general para los grados de la rama de Ingeniería y Arquitectura, con las 50 plazas de nuevo ingreso previstas en la memoria verificada y los límites de matrícula a tiempo completo (40-78 ECTS) y a tiempo parcial (24-39 ECTS) recogidos en ella. Los indicadores de acceso del título (Anexo I) muestran una demanda sostenida y superior a la oferta.</w:t>
      </w:r>
    </w:p>
    <w:p>
      <w:pPr>
        <w:pStyle w:val="AGAETexto"/>
      </w:pPr>
      <w:r>
        <w:rPr>
          <w:color w:val="000000"/>
        </w:rPr>
        <w:t>ISGC-P04-17: Tasa de ocupación del título. Se mantiene por encima del 100% en todos los cursos de la serie (106,0% | 104,0% | 108,0% | 110,0% | 104,0%), lo que confirma que las 50 plazas ofertadas se cubren íntegramente cada curso, en línea con el conjunto del centro (100,83%) y por encima de la media de la UCA (93,46%).</w:t>
      </w:r>
    </w:p>
    <w:p>
      <w:pPr>
        <w:pStyle w:val="AGAETexto"/>
      </w:pPr>
      <w:r>
        <w:rPr>
          <w:color w:val="000000"/>
        </w:rPr>
        <w:t>ISGC-P04-18: Tasa de preferencia del título. Ha crecido del 122,0% al 146,0% en el último curso, recuperando los valores de 2020-21 (148,0%) y confirmando el interés por el título, si bien se sitúa por debajo de la tasa del centro (173,54%) y de la media de la UCA (152,97%).</w:t>
      </w:r>
    </w:p>
    <w:p>
      <w:pPr>
        <w:pStyle w:val="AGAETexto"/>
      </w:pPr>
      <w:r>
        <w:rPr>
          <w:color w:val="000000"/>
        </w:rPr>
        <w:t>ISGC-P04-16: Tasa de adecuación del título. Se sitúa en el 57,69% en 2024-25, con una recuperación de más de ocho puntos respecto al 49,09% del curso anterior, aunque por debajo del valor de 2020-21 (58,49%) y de la media de la UCA (61,36%). Que aproximadamente cuatro de cada diez estudiantes de nuevo ingreso no accedan en primera opción se considera un punto débil (PD-ESI-3.2) y se vincula a una acción de difusión y orientación preuniversitaria específica del perfil de diseño industrial (AM-ESI-3.2).</w:t>
      </w:r>
    </w:p>
    <w:p>
      <w:pPr>
        <w:pStyle w:val="AGAETexto"/>
      </w:pPr>
      <w:r>
        <w:rPr>
          <w:color w:val="000000"/>
        </w:rPr>
        <w:t>ISGC-P04-19: Tasa de renovación del título o tasa de nuevo ingreso. Se sitúa en el 17,42%, valor estable en la serie (20,00% | 18,75% | 18,77% | 19,75% | 17,42%) e inferior al del centro (20,59%) y de la UCA (24,27%), coherente con una matrícula total consolidada y con la reducción del abandono.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pPr>
        <w:pStyle w:val="AGAETexto"/>
      </w:pPr>
      <w:r>
        <w:rPr>
          <w:color w:val="000000"/>
        </w:rPr>
        <w:t>La coordinación docente se articula mediante la figura del coordinador o coordinadora de cada asignatura, del coordinador del título y del Vocal de Grado de la Escuela Superior de Ingeniería, que añade un nivel más de coordinación, junto con las reuniones por curso convocadas por la Dirección del centro, cuyos acuerdos se recogen en acta y se elevan a la Comisión de Garantía de Calidad. En respuesta a la Subsanación 3.1 del informe de ACCUA de 05/07/2023, se dispone además de un curso en el Campus Virtual que integra a los coordinadores de asignatura y que sirve de registro formal de recomendaciones, acuerdos y sugerencias del profesorado. La coordinación vertical se revisa a partir de los resultados académicos por asignatura y la horizontal mediante la planificación de las cargas de trabajo y del calendario de entregas de cada cuatrimestre, aspecto especialmente relevante en un título con un peso alto de asignaturas de proyectos y talleres.</w:t>
      </w:r>
    </w:p>
    <w:p>
      <w:pPr>
        <w:pStyle w:val="AGAETexto"/>
      </w:pPr>
      <w:r>
        <w:rPr>
          <w:color w:val="000000"/>
        </w:rPr>
        <w:t>ISGC-P04-10: Grado de satisfacción del alumnado con la coordinación docente. El indicador ha descendido de 3,29 a 2,81 sobre 5 en el último curso, situándose por debajo del centro (2,95) y de la UCA (3,10). La serie (2,82 | 2,89 | 2,77 | 3,29 | 2,81) muestra que el valor de 2023-24 fue un máximo puntual y que la debilidad detectada en el autoinforme anterior (PD-ESI-3.1 y PD-ESI-3.3 del curso 23/24) no se ha resuelto. Interpretamos que la acumulación de entregas de las asignaturas de proyectos en determinados periodos del cuatrimestre está detrás de esta percepción, por lo que se refuerzan las reuniones de coordinación y la planificación de las cargas de trabajo (PD-ESI-3.1 y AM-ESI-3.1), acciones que también dan continuidad a la Subsanación 3.1 de ACCUA.</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pPr>
        <w:pStyle w:val="AGAETexto"/>
      </w:pPr>
      <w:r>
        <w:rPr>
          <w:color w:val="000000"/>
        </w:rPr>
        <w:t>El título se imparte en un único centro, la Escuela Superior de Ingeniería, no es un título conjunto ni interuniversitario, no cuenta con mención dual, con itinerario académico abierto ni con estructuras curriculares específicas, tal como consta en la memoria verificada y en los datos de identificación de este autoinforme. Sí participa en un programa conjunto de estudios oficiales (PCEO) con el Grado en Ingeniería Mecánica, regulado por el Reglamento UCA/CG03/2020, cuya propuesta formativa y relación de asignaturas están publicadas en la web del centro. Los indicadores de acceso del PCEO son especialmente favorables (tasa de preferencia del 380% y de ocupación del 110% en 2024-25) y sus resultados académicos superan a los del título (tasa de rendimiento del 78,6% y de éxito del 88,5%), lo que confirma el interés de esta oferta conjunta. La optatividad del título se organiza en tres menciones —Diseño Creativo, Gestión del Producto y Multidisciplinar—, de 30 ECTS cada una, conforme a la memoria verificada.</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2B73209D" w14:textId="0EEBE9B9" w:rsidR="005D691F" w:rsidRPr="00EA51D0" w:rsidRDefault="005D691F" w:rsidP="005D691F">
      <w:p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Dobles títulos: </w:t>
      </w:r>
    </w:p>
    <w:p w14:paraId="3D98E210" w14:textId="732084F9"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normativa específica aprobada por la Universidad que regula las dobles titulaciones es el Reglamento UCA/CG03/2020, de 18 de febrero, para la creación, modificación, suspensión, extinción y gestión de títulos oficiales en la Universidad de Cádiz, que dedica su Título III a </w:t>
      </w:r>
      <w:r w:rsidR="00CD7A9C" w:rsidRPr="00EA51D0">
        <w:rPr>
          <w:rFonts w:asciiTheme="minorHAnsi" w:eastAsia="Times New Roman" w:hAnsiTheme="minorHAnsi" w:cstheme="minorHAnsi"/>
          <w:i/>
          <w:color w:val="000000"/>
          <w:sz w:val="20"/>
          <w:szCs w:val="20"/>
          <w:lang w:eastAsia="es-ES"/>
        </w:rPr>
        <w:t>la PROPUESTA</w:t>
      </w:r>
      <w:r w:rsidRPr="00EA51D0">
        <w:rPr>
          <w:rFonts w:asciiTheme="minorHAnsi" w:eastAsia="Times New Roman" w:hAnsiTheme="minorHAnsi" w:cstheme="minorHAnsi"/>
          <w:i/>
          <w:color w:val="000000"/>
          <w:sz w:val="20"/>
          <w:szCs w:val="20"/>
          <w:lang w:eastAsia="es-ES"/>
        </w:rPr>
        <w:t>, APROBACIÓN Y MODIFICACIÓN DE MEMORIAS PARA LA COMPATIBILIZACIÓN DE PLANES DE ESTUDIO PARA LA OBTENCIÓN DE DOS TÍTULOS DE GRADO.</w:t>
      </w:r>
    </w:p>
    <w:p w14:paraId="54E75317" w14:textId="77777777" w:rsidR="005D691F" w:rsidRPr="00EA51D0" w:rsidRDefault="005D691F" w:rsidP="005D691F">
      <w:pPr>
        <w:autoSpaceDE w:val="0"/>
        <w:autoSpaceDN w:val="0"/>
        <w:adjustRightInd w:val="0"/>
        <w:spacing w:after="0" w:line="240" w:lineRule="auto"/>
        <w:jc w:val="both"/>
        <w:rPr>
          <w:rFonts w:ascii="Source Sans Pro" w:hAnsi="Source Sans Pro"/>
          <w:b/>
          <w:sz w:val="21"/>
          <w:szCs w:val="21"/>
        </w:rPr>
      </w:pPr>
    </w:p>
    <w:p w14:paraId="32AD82D2" w14:textId="77777777" w:rsidR="005D691F" w:rsidRPr="00EA51D0" w:rsidRDefault="005D691F" w:rsidP="00F2355C">
      <w:pPr>
        <w:spacing w:after="0"/>
        <w:rPr>
          <w:rFonts w:asciiTheme="minorHAnsi" w:eastAsia="Times New Roman" w:hAnsiTheme="minorHAnsi" w:cstheme="minorHAnsi"/>
          <w:i/>
          <w:color w:val="000000"/>
          <w:sz w:val="20"/>
          <w:szCs w:val="20"/>
          <w:lang w:eastAsia="es-ES"/>
        </w:rPr>
      </w:pPr>
    </w:p>
    <w:p w14:paraId="1FECBED6" w14:textId="77777777" w:rsidR="00347EC9" w:rsidRPr="00EA51D0" w:rsidRDefault="00347EC9" w:rsidP="00347EC9">
      <w:pPr>
        <w:spacing w:after="0"/>
        <w:jc w:val="both"/>
        <w:rPr>
          <w:rFonts w:asciiTheme="minorHAnsi" w:eastAsia="Times New Roman" w:hAnsiTheme="minorHAnsi" w:cstheme="minorHAnsi"/>
          <w:i/>
          <w:color w:val="000000"/>
          <w:sz w:val="20"/>
          <w:szCs w:val="20"/>
          <w:lang w:eastAsia="es-ES"/>
        </w:rPr>
      </w:pPr>
    </w:p>
    <w:p w14:paraId="2E60B665" w14:textId="77777777" w:rsidR="005D3ACE" w:rsidRPr="00EA51D0" w:rsidRDefault="005D3ACE" w:rsidP="00347EC9">
      <w:pPr>
        <w:spacing w:after="0"/>
        <w:jc w:val="both"/>
        <w:rPr>
          <w:rFonts w:asciiTheme="minorHAnsi" w:eastAsia="Times New Roman" w:hAnsiTheme="minorHAnsi" w:cstheme="minorHAnsi"/>
          <w:i/>
          <w:color w:val="FF0000"/>
          <w:sz w:val="20"/>
          <w:szCs w:val="20"/>
          <w:lang w:eastAsia="es-ES"/>
        </w:rPr>
      </w:pPr>
    </w:p>
    <w:p w14:paraId="7E3065C2"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0C067EF1"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5521530C" w14:textId="77777777" w:rsidR="000A6DF3" w:rsidRPr="00EA51D0" w:rsidRDefault="000A6DF3" w:rsidP="005D3ACE">
      <w:pPr>
        <w:spacing w:after="0"/>
        <w:jc w:val="both"/>
        <w:rPr>
          <w:rFonts w:asciiTheme="minorHAnsi" w:eastAsia="Times New Roman" w:hAnsiTheme="minorHAnsi" w:cstheme="minorHAnsi"/>
          <w:i/>
          <w:color w:val="FF0000"/>
          <w:sz w:val="20"/>
          <w:szCs w:val="20"/>
          <w:lang w:eastAsia="es-ES"/>
        </w:rPr>
      </w:pPr>
    </w:p>
    <w:p w14:paraId="2182ECD4" w14:textId="77777777" w:rsidR="005D691F" w:rsidRPr="00EA51D0" w:rsidRDefault="005D691F" w:rsidP="00347EC9">
      <w:pPr>
        <w:spacing w:after="0"/>
        <w:jc w:val="both"/>
      </w:pP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PF-ESI-3.1.- La demanda del título es sostenida: la tasa de ocupación (ISGC-P04-17) se mantiene en el entorno del 104-110% en los últimos cuatro cursos y la tasa de preferencia (ISGC-P04-18) ha crecido hasta el 146% en 2024-25.</w:t>
              <w:br/>
              <w:t>- PF-ESI-3.2.- La oferta del PCEO con el Grado en Ingeniería Mecánica amplía las opciones formativas del alumnado y presenta indicadores de acceso muy elevados.</w:t>
              <w:br/>
              <w:t>- PF-ESI-3.3.- El título cubre cada curso el 100% de las 50 plazas ofertadas en la memoria verificada, con una tasa de ocupación del 104% en 2024-25.</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PD-ESI-3.1.- La satisfacción del alumnado con la coordinación docente (ISGC-P04-10) ha bajado de 3,29 a 2,81 sobre 5, por debajo del centro (2,95) y de la UCA (3,10).</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AM-ESI-3.1.- Reforzar las reuniones de coordinación horizontal y vertical por curso, con acta y plan de cargas de trabajo por cuatrimestre, y revisar el calendario de entregas de las asignaturas de proyectos y talleres.</w:t>
            </w:r>
          </w:p>
        </w:tc>
      </w:tr>
      <w:tr w:rsidR="00BB7AF6" w:rsidRPr="00037BD7" w14:paraId="4149A7CB" w14:textId="77777777" w:rsidTr="00D82372">
        <w:trPr>
          <w:jc w:val="center"/>
        </w:trPr>
        <w:tc>
          <w:tcPr>
            <w:tcW w:w="2722" w:type="pct"/>
            <w:tcBorders>
              <w:bottom w:val="single" w:sz="4" w:space="0" w:color="auto"/>
            </w:tcBorders>
            <w:shd w:val="clear" w:color="auto" w:fill="auto"/>
            <w:vAlign w:val="center"/>
          </w:tcPr>
          <w:p w14:paraId="1A1C4F5F"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PD-ESI-3.2.- La tasa de adecuación (ISGC-P04-16) se sitúa en el 57,69%, lo que indica que una parte relevante del alumnado de nuevo ingreso no accede en primera opción.</w:t>
            </w:r>
          </w:p>
        </w:tc>
        <w:tc>
          <w:tcPr>
            <w:tcW w:w="2278" w:type="pct"/>
            <w:tcBorders>
              <w:bottom w:val="single" w:sz="4" w:space="0" w:color="auto"/>
            </w:tcBorders>
            <w:shd w:val="clear" w:color="auto" w:fill="auto"/>
            <w:vAlign w:val="center"/>
          </w:tcPr>
          <w:p w14:paraId="4B1DA0D1"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AM-ESI-3.2.- Intensificar las acciones de difusión y orientación preuniversitaria específicas del perfil de diseño industrial (jornadas de puertas abiertas, visitas a centros de secundaria y presencia en ferias de orientación).</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212BBFF9" w14:textId="77777777" w:rsidR="00AC4EFC" w:rsidRPr="00EA51D0" w:rsidRDefault="00AC4EFC" w:rsidP="00AC4EFC">
      <w:pPr>
        <w:pStyle w:val="AGAETexto"/>
        <w:numPr>
          <w:ilvl w:val="0"/>
          <w:numId w:val="26"/>
        </w:numPr>
        <w:spacing w:before="0" w:after="0" w:line="240" w:lineRule="auto"/>
        <w:rPr>
          <w:rFonts w:asciiTheme="minorHAnsi" w:eastAsia="Times New Roman" w:hAnsiTheme="minorHAnsi" w:cstheme="minorHAnsi"/>
          <w:i/>
          <w:color w:val="00B0F0"/>
          <w:sz w:val="20"/>
          <w:szCs w:val="20"/>
        </w:rPr>
      </w:pPr>
      <w:r w:rsidRPr="00EA51D0">
        <w:rPr>
          <w:rFonts w:asciiTheme="minorHAnsi" w:eastAsia="Times New Roman" w:hAnsiTheme="minorHAnsi" w:cstheme="minorHAnsi"/>
          <w:i/>
          <w:color w:val="00B0F0"/>
          <w:sz w:val="20"/>
          <w:szCs w:val="20"/>
        </w:rPr>
        <w:t>Los méritos docentes e investigadores adquiridos por cada miembro del profesorado son garantía del nivel de calidad y experiencia necesarias para llevar a cabo correctamente la docencia asignada.</w:t>
      </w:r>
    </w:p>
    <w:p>
      <w:pPr>
        <w:pStyle w:val="AGAETexto"/>
      </w:pPr>
      <w:r>
        <w:rPr>
          <w:color w:val="000000"/>
        </w:rPr>
        <w:t>El personal académico del título se organiza por áreas de conocimiento y departamentos, lo que garantiza la adecuación del perfil docente a las materias impartidas. En el curso 2024-25 el título cuenta con 64 profesores diferentes (52 en 2020-21), de los cuales el 70,31% son doctores, con 92 quinquenios de experiencia docente y 48 sexenios de investigación acumulados. La distribución por categorías incluye 4 Catedráticos de Universidad, 18 Profesores Titulares de Universidad, 3 Profesores Titulares de Escuela Universitaria, 4 Profesores Contratados Doctores, 2 Profesores Colaboradores, 12 Profesores Ayudantes Doctores, 6 Profesores Asociados y 15 profesores de otras figuras (sustitutos interinos y otros). La tabla completa se recoge en el Anexo II.</w:t>
      </w:r>
    </w:p>
    <w:p>
      <w:pPr>
        <w:pStyle w:val="AGAETexto"/>
      </w:pPr>
      <w:r>
        <w:rPr>
          <w:color w:val="000000"/>
        </w:rPr>
        <w:t>La evolución de la plantilla muestra una consolidación del profesorado permanente: los Profesores Titulares de Universidad han pasado del 13,46% al 28,13% del total, mientras que el peso de las figuras temporales ha descendido del 40,38% al 23,44%. La experiencia investigadora acumulada ha crecido de 30 a 48 sexenios en el periodo analizado, lo que da respuesta a la Recomendación 4.1 del informe de ACCUA en lo relativo al fomento de la dedicación investigadora. Consideramos que el nivel de cualificación y la experiencia docente e investigadora del profesorado son adecuados para el nivel MECES del título y se corresponden con lo comprometido en la memoria verificada.</w:t>
      </w:r>
    </w:p>
    <w:p w14:paraId="2670692F" w14:textId="77777777" w:rsidR="00AC4EFC" w:rsidRPr="00EA51D0" w:rsidRDefault="00AC4EFC" w:rsidP="00AC4EFC">
      <w:pPr>
        <w:pStyle w:val="Prrafodelista"/>
        <w:numPr>
          <w:ilvl w:val="0"/>
          <w:numId w:val="26"/>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profesorado colaborador proveniente de otras universidades o centros de investigación y los convenios establecidos se corresponden a lo así indicado en la memoria verificada.</w:t>
      </w: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pPr>
        <w:pStyle w:val="AGAETexto"/>
      </w:pPr>
      <w:r>
        <w:rPr>
          <w:color w:val="000000"/>
        </w:rPr>
        <w:t>La dedicación del profesorado al título en el curso 2024-25 es de 431,89 créditos, que representan el 36,61% de los créditos impartidos por ese profesorado en el conjunto de los títulos en los que participa. La cifra se ha mantenido estable a lo largo del periodo analizado (443,88 | 473,88 | 464,88 | 441,78 | 431,89 créditos), lo que indica una plantilla suficiente y estable para el desarrollo del programa formativo. Los tamaños de grupo se ajustan a la planificación docente aprobada por el centro, con desdobles en las asignaturas con prácticas de taller, laboratorio y aula de informática.</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pPr>
        <w:pStyle w:val="AGAETexto"/>
      </w:pPr>
      <w:r>
        <w:rPr>
          <w:color w:val="000000"/>
        </w:rPr>
        <w:t>La actividad docente del profesorado se evalúa a través del programa DOCENTIA-UCA, de participación voluntaria, y se complementa con la oferta anual de acciones formativas y con las convocatorias de innovación y mejora docente del Vicerrectorado competente.</w:t>
      </w:r>
    </w:p>
    <w:p>
      <w:pPr>
        <w:pStyle w:val="AGAETexto"/>
      </w:pPr>
      <w:r>
        <w:rPr>
          <w:color w:val="000000"/>
        </w:rPr>
        <w:t>ISGC-P05-05: Porcentaje de profesores del título que han participado en las convocatorias DOCENTIA. El valor de 2024-25 (34,38%) es el más alto de la serie (30,77% | 28,57% | 28,57% | 17,46% | 34,38%) y supera ampliamente al del centro (22,35%) y a la media de la UCA (20,54%), lo que consideramos un punto fuerte del título y da respuesta a la Recomendación 4.1 del informe de ACCUA.</w:t>
      </w:r>
    </w:p>
    <w:p>
      <w:pPr>
        <w:pStyle w:val="AGAETexto"/>
      </w:pPr>
      <w:r>
        <w:rPr>
          <w:color w:val="000000"/>
        </w:rPr>
        <w:t>ISGC-P05-06 y ISGC-P05-07: Porcentaje de calificaciones EXCELENTES y FAVORABLE en la evaluación de la actividad docente. En 2024-25 el porcentaje de calificaciones excelentes es del 54,55% y el de favorables del 45,45%, frente al 90,91% y 9,09% del curso anterior. La serie de excelentes (68,75% | 77,78% | 77,78% | 90,91% | 54,55%) sitúa el promedio en el 73,95%, y el descenso del último curso coincide con el registrado en el centro (52,63%) y en la UCA (53,46%), por lo que lo atribuimos a un cambio en los criterios de aplicación del modelo y no a un deterioro de la actividad docente del título. Se mantendrá su seguimiento en la CGC (PD-ESI-4.2 y AM-ESI-4.2).</w:t>
      </w:r>
    </w:p>
    <w:p>
      <w:pPr>
        <w:pStyle w:val="AGAETexto"/>
      </w:pPr>
      <w:r>
        <w:rPr>
          <w:color w:val="000000"/>
        </w:rPr>
        <w:t>ISGC-P05-02 e ISGC-P05-03: Participación del profesorado en acciones formativas y en proyectos de innovación y mejora docente. Ambos indicadores alcanzan el 43,75% en 2024-25 y superan tanto los valores del centro (33,33% y 39,22%) como los de la UCA (35,39% y 32,93%), lo que refleja la implicación del profesorado en la mejora de la docencia.</w:t>
      </w:r>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pPr>
        <w:pStyle w:val="AGAETexto"/>
      </w:pPr>
      <w:r>
        <w:rPr>
          <w:color w:val="000000"/>
        </w:rPr>
        <w:t>Los criterios de oferta, selección y asignación de Proyectos Fin de Grado están regulados por el Reglamento Marco de TFG/TFM de la Universidad de Cádiz y por el reglamento propio del centro. La oferta de líneas y tutores se publica cada curso a través de la aplicación institucional https://tfgm.uca.es/, con criterios públicos de asignación basados en la preferencia del alumnado y en el expediente académico, lo que garantiza la igualdad de oportunidades y el trato homogéneo. La evaluación se realiza ante tribunal mediante rúbrica común y el centro celebra convocatorias de defensa con periodicidad mensual para atender la demanda.</w:t>
      </w:r>
    </w:p>
    <w:p>
      <w:pPr>
        <w:pStyle w:val="AGAETexto"/>
      </w:pPr>
      <w:r>
        <w:rPr>
          <w:color w:val="000000"/>
        </w:rPr>
        <w:t>ISGC-P04-11: Grado de satisfacción del alumnado con el proceso para la elección y realización del TFG. El indicador ha descendido de 3,36 a 2,50 sobre 5, por debajo del centro (2,97) y de la UCA (3,19), y la serie (2,50 | 2,30 | 2,36 | 3,36 | 2,50) muestra que la mejora del curso 2023-24 no se ha consolidado. Este resultado, unido al 40% de no presentados en el Proyecto Fin de Grado, se considera un punto débil (PD-ESI-4.1) con acción de mejora asociada sobre el procedimiento de oferta y asignación y sobre la información al alumnado (AM-ESI-4.1), en línea con la Recomendación 6.1 del informe de ACCUA relativa al rendimiento del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pPr>
        <w:pStyle w:val="AGAETexto"/>
      </w:pPr>
      <w:r>
        <w:rPr>
          <w:color w:val="000000"/>
        </w:rPr>
        <w:t>Las prácticas externas del título, de carácter optativo conforme a la memoria verificada, son tutorizadas por profesorado del centro con perfil académico afín al ámbito de la asignatura y experiencia en la relación con el tejido empresarial del sector del diseño y la fabricación. La relación de tutores académicos, con su ámbito de conocimiento, categoría y dedicación, se recoge en el Anexo III. La satisfacción de los tutores académicos con las prácticas realizadas por el alumnado (ISGC-P04-12) alcanza 4,50 sobre 5 en 2024-25, valor superior al del centro (4,33) y al de la UCA (4,25) y el más alto de la serie (3,78 | 3,50 | 4,43 | 3,25 | 4,50), lo que avala la adecuación del perfil del profesorado que las supervisa.</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pPr>
        <w:pStyle w:val="AGAETexto"/>
      </w:pPr>
      <w:r>
        <w:rPr>
          <w:color w:val="000000"/>
        </w:rPr>
        <w:t>No procede. El título se imparte íntegramente en modalidad presencial.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pPr>
        <w:pStyle w:val="AGAETexto"/>
      </w:pPr>
      <w:r>
        <w:rPr>
          <w:color w:val="000000"/>
        </w:rPr>
        <w:t>ISGC-P05-04: Grado de satisfacción global de los estudiantes con la docencia. El indicador se mantiene en 4,4 sobre 5 en los tres últimos cursos (4,1 | 4,3 | 4,4 | 4,4 | 4,4), igualando la media de la UCA (4,4) y el valor del centro (4,4). Consideramos que se trata de un punto fuerte consolidado del título: la valoración de la actuación docente del profesorado es alta y estable, y contrasta con los indicadores de satisfacción referidos a procesos de gestión (coordinación, TFG, orientación), que son los que concentran las acciones de mejora de este autoinforme. Los resultados se analizan anualmente en la CGC junto con los indicadores del proceso P05.</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pPr>
        <w:pStyle w:val="AGAETexto"/>
      </w:pPr>
      <w:r>
        <w:rPr>
          <w:color w:val="000000"/>
        </w:rPr>
        <w:t>ISGC-P07-03: Grado de satisfacción global del PDI con el título. El indicador se sitúa en 3,94 sobre 5 en 2024-25, con una serie estable y elevada (4,06 | 4,11 | 4,25 | 3,96 | 3,94) que supera el valor del centro (3,86) y se sitúa en el entorno de la media de la UCA (3,96). La tasa de respuesta del PDI (ISGC-P07-01_02) es del 25,71%, superior a la del centro (15,41%), lo que aporta suficiente respaldo al dato.</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PF-ESI-4.1.- La satisfacción global del alumnado con la docencia (ISGC-P05-04) se mantiene en 4,4 sobre 5 durante los tres últimos cursos, igualando la media de la UCA.</w:t>
              <w:br/>
              <w:t>- PF-ESI-4.2.- El profesorado del título muestra una participación en acciones formativas (ISGC-P05-02: 43,75%) y en proyectos de innovación docente (ISGC-P05-03: 43,75%) superior a la del centro y a la de la UCA.</w:t>
              <w:br/>
              <w:t>- PF-ESI-4.3.- La participación en DOCENTIA (ISGC-P05-05: 34,38%) es la más alta de los últimos cinco cursos y supera ampliamente la del centro (22,35%) y la de la UCA (20,54%).</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PD-ESI-4.1.- La satisfacción del alumnado con el proceso de elección y realización del TFG (ISGC-P04-11) ha caído de 3,36 a 2,50 sobre 5, por debajo del centro (2,97) y de la UCA (3,19).</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AM-ESI-4.1.- Revisar el procedimiento de oferta y asignación de TFG (calendario, publicación de líneas y criterios de reparto), celebrar una sesión informativa específica al inicio de curso y hacer seguimiento del indicador.</w:t>
            </w:r>
          </w:p>
        </w:tc>
      </w:tr>
      <w:tr w:rsidR="00BB7AF6" w:rsidRPr="00EA51D0" w14:paraId="0D98247A" w14:textId="77777777" w:rsidTr="00D82372">
        <w:trPr>
          <w:jc w:val="center"/>
        </w:trPr>
        <w:tc>
          <w:tcPr>
            <w:tcW w:w="2722" w:type="pct"/>
            <w:tcBorders>
              <w:bottom w:val="single" w:sz="4" w:space="0" w:color="auto"/>
            </w:tcBorders>
            <w:shd w:val="clear" w:color="auto" w:fill="auto"/>
            <w:vAlign w:val="center"/>
          </w:tcPr>
          <w:p w14:paraId="09753D5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PD-ESI-4.2.- El porcentaje de calificaciones "EXCELENTES" en DOCENTIA (ISGC-P05-06) ha descendido al 54,55% en 2024-25 frente al 83,33% del curso anterior.</w:t>
            </w:r>
          </w:p>
        </w:tc>
        <w:tc>
          <w:tcPr>
            <w:tcW w:w="2278" w:type="pct"/>
            <w:tcBorders>
              <w:bottom w:val="single" w:sz="4" w:space="0" w:color="auto"/>
            </w:tcBorders>
            <w:shd w:val="clear" w:color="auto" w:fill="auto"/>
            <w:vAlign w:val="center"/>
          </w:tcPr>
          <w:p w14:paraId="71BE995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AM-ESI-4.2.- Difundir entre el profesorado del título las convocatorias de formación y el nuevo modelo de evaluación DOCENTIA, y analizar en la CGC la evolución del indicador antes de considerarlo estructural.</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pPr>
        <w:pStyle w:val="AGAETexto"/>
      </w:pPr>
      <w:r>
        <w:rPr>
          <w:color w:val="000000"/>
        </w:rPr>
        <w:t>El título se desarrolla en las instalaciones de la Escuela Superior de Ingeniería, de construcción reciente, que cuenta con aulas de docencia convenientemente equipadas con proyector y conexión a red, aulas de informática con el software de diseño asistido y de creación digital específico del título, talleres y laboratorios para las asignaturas de materiales, procesos industriales y prototipado, y espacios de trabajo en grupo. El alumnado dispone de la Biblioteca del campus, del Campus Virtual de la UCA sobre Moodle —utilizado por todas las asignaturas del título—, de la red wifi institucional (ucAir y Eduroam) y de los servicios de atención al usuario CAU y BAU, así como del sistema SIRE para la reserva de recursos y espacios docentes.</w:t>
      </w:r>
    </w:p>
    <w:p>
      <w:pPr>
        <w:pStyle w:val="AGAETexto"/>
      </w:pPr>
      <w:r>
        <w:rPr>
          <w:color w:val="000000"/>
        </w:rPr>
        <w:t>ISGC-P06-03: Grado de satisfacción del alumnado con los recursos materiales e infraestructuras del título. El indicador se sitúa en 3,46 sobre 5 en 2024-25, por debajo del centro (3,60) y prácticamente en la media de la UCA (3,44), con una serie estable (3,68 | 3,56 | 3,55 | 3,67 | 3,46). El descenso del último curso se relaciona con las necesidades específicas de equipamiento de las aulas de diseño y de los espacios de prototipado, que se traslada a la Dirección del centro como acción de mejora (PD-ESI-5.1 y AM-ESI-5.1).</w:t>
      </w:r>
    </w:p>
    <w:p>
      <w:pPr>
        <w:pStyle w:val="AGAETexto"/>
      </w:pPr>
      <w:r>
        <w:rPr>
          <w:color w:val="000000"/>
        </w:rPr>
        <w:t>ISGC-P06-04: Grado de satisfacción del profesorado con los recursos materiales e infraestructuras del título. El indicador alcanza 4,30 sobre 5, por encima del centro (4,28) y de la media de la UCA (4,05), con una serie al alza desde 2020-21 (3,93 | 4,31 | 4,30 | 4,08 | 4,30), lo que consideramos un punto fuerte.</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pPr>
        <w:pStyle w:val="AGAETexto"/>
      </w:pPr>
      <w:r>
        <w:rPr>
          <w:color w:val="000000"/>
        </w:rPr>
        <w:t>La movilidad del estudiantado se gestiona a través de la Oficina de Relaciones Internacionales (ORI) y del responsable de Relaciones Internacionales del centro, que organiza las jornadas informativas para el alumnado saliente y las de acogida para el entrante. Los acuerdos de estudios y el reconocimiento de créditos se informan por la Comisión de Garantía de Calidad. El título cuenta además con asignaturas de Formación Adaptable Erasmus que facilitan el reconocimiento académico de las estancias.</w:t>
      </w:r>
    </w:p>
    <w:p>
      <w:pPr>
        <w:pStyle w:val="AGAETexto"/>
      </w:pPr>
      <w:r>
        <w:rPr>
          <w:color w:val="000000"/>
        </w:rPr>
        <w:t>ISGC-P04-09: Porcentaje de alumnado que participa en programas de movilidad. En 2024-25 la movilidad saliente internacional alcanza el 2,61% del alumnado (frente al 1,60% del centro y al 3,13% de la UCA) y la entrante internacional el 1,63%, valor máximo de la serie. La movilidad nacional es marginal (0,33% entrante y 0,65% saliente). El crecimiento de la movilidad saliente internacional desde el 1,79% de 2020-21, junto con la ampliación de convenios con universidades extranjeras, da respuesta a la parte de oferta de la Subsanación 5.1 del informe de ACCUA.</w:t>
      </w:r>
    </w:p>
    <w:p>
      <w:pPr>
        <w:pStyle w:val="AGAETexto"/>
      </w:pPr>
      <w:r>
        <w:rPr>
          <w:color w:val="000000"/>
        </w:rPr>
        <w:t>ISGC-P04-15: Grado de satisfacción del alumnado que ha participado en redes de movilidad. El indicador se sitúa en 2,73 sobre 5, por debajo del centro (3,21) y de la UCA (3,37), con una serie que no mejora (3,07 | 2,60 | 3,06 | 2,80 | 2,73). Es la parte de la Subsanación 5.1 y de la Recomendación 3.1 de ACCUA que sigue sin resolverse, por lo que se mantiene como punto débil (PD-ESI-5.2) y se propone revisar con la ORI los acuerdos, la información previa a la estancia y la tutorización del reconocimiento de créditos (AM-ESI-5.2).</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pPr>
        <w:pStyle w:val="AGAETexto"/>
      </w:pPr>
      <w:r>
        <w:rPr>
          <w:color w:val="000000"/>
        </w:rPr>
        <w:t>El programa formativo incluye prácticas académicas externas con carácter optativo (la memoria verificada no contempla créditos de prácticas obligatorias), gestionadas mediante la plataforma institucional y los convenios suscritos por la Universidad de Cádiz. La asignación se realiza con criterios públicos y cada estudiante cuenta con un tutor académico y un tutor de la entidad colaboradora. La información sobre créditos, plazas ofertadas, convenios y tutores se recoge en el Anexo III.</w:t>
      </w:r>
    </w:p>
    <w:p>
      <w:pPr>
        <w:pStyle w:val="AGAETexto"/>
      </w:pPr>
      <w:r>
        <w:rPr>
          <w:color w:val="000000"/>
        </w:rPr>
        <w:t>ISGC-P04-08: Número de plazas de prácticas externas ofertadas sobre el alumnado que las solicita. El indicador ha crecido de forma continuada en todo el periodo (0,25 | 0,91 | 1,40 | 1,45 | 2,14), de modo que en 2024-25 se ofertan más del doble de plazas que solicitudes, muy por encima del centro (1,93) y de la media de la UCA (0,49). Consideramos que es un punto fuerte del título y refleja la buena relación con el tejido empresarial del sector. Las calificaciones de la asignatura de prácticas confirman su aprovechamiento: el 83% del alumnado evaluado obtiene sobresaliente.</w:t>
      </w:r>
    </w:p>
    <w:p>
      <w:pPr>
        <w:pStyle w:val="AGAETexto"/>
      </w:pPr>
      <w:r>
        <w:rPr>
          <w:color w:val="000000"/>
        </w:rPr>
        <w:t>ISGC-P04-12 e ISGC-P04-13: Satisfacción de los tutores académicos y de las entidades colaboradoras con el desempeño del alumnado en prácticas. Ambos indicadores son muy elevados en 2024-25 (4,50 y 4,66 sobre 5), por encima del centro (4,33 y 4,65) y de la UCA (4,25 y 4,65), y la serie de ISGC-P04-13 se mantiene estable en valores altos (5,00 | 3,50 | 4,50 | 4,79 | 4,66). Debe advertirse que la extracción en vivo de LinceBI ofrece para este indicador valores sin normalizar en los cursos intermedios (1,75 | 2,25 | 2,40), inferiores a los publicados en el autoinforme anterior; se ha conservado la serie normalizada del autoinforme aprobado.</w:t>
      </w:r>
    </w:p>
    <w:p>
      <w:pPr>
        <w:pStyle w:val="AGAETexto"/>
      </w:pPr>
      <w:r>
        <w:rPr>
          <w:color w:val="000000"/>
        </w:rPr>
        <w:t>ISGC-P04-14: Grado de satisfacción del alumnado con las prácticas externas realizadas. El indicador se sitúa en 3,00 sobre 5, por debajo del centro (3,52) y de la UCA (3,55), tras el 3,43 del curso anterior. El contraste con la elevada satisfacción de tutores y entidades sugiere revisar la fase de asignación y el ajuste de expectativas del alumnado, aspecto que se incorpora al seguimiento de la CGC.</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pPr>
        <w:pStyle w:val="AGAETexto"/>
      </w:pPr>
      <w:r>
        <w:rPr>
          <w:color w:val="000000"/>
        </w:rPr>
        <w:t>ISGC-P01-03 e ISGC-P07-04: Satisfacción del PTGAS con la información publicada y satisfacción global del PTGAS con el Centro. Al no existir personal de apoyo adscrito a títulos, ambos indicadores se analizan a nivel de centro: 3,64 y 3,79 sobre 5 respectivamente en 2024-25, valores estables en la serie y equivalentes a la media de la UCA (3,67 y 3,81). El personal de administración y servicios del campus da soporte a la secretaría, a los laboratorios y talleres y a los servicios comunes utilizados por el título, y se considera adecuado y suficiente para el desarrollo del programa formativo.</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pPr>
        <w:pStyle w:val="AGAETexto"/>
      </w:pPr>
      <w:r>
        <w:rPr>
          <w:color w:val="000000"/>
        </w:rPr>
        <w:t>No procede. El título se imparte íntegramente en modalidad presencial.</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PF-ESI-5.1.- La satisfacción del profesorado con los recursos materiales e infraestructuras (ISGC-P06-04: 4,30 sobre 5) es superior a la del centro (4,28) y a la de la UCA (4,05).</w:t>
              <w:br/>
              <w:t>- PF-ESI-5.2.- La oferta de plazas de prácticas externas por alumnado solicitante (ISGC-P04-08) ha crecido de forma continuada hasta 2,14 en 2024-25, muy por encima del centro (1,93) y de la UCA (0,49).</w:t>
              <w:br/>
              <w:t>- PF-ESI-5.3.- La satisfacción de los tutores académicos (ISGC-P04-12: 4,50) y de las entidades colaboradoras (ISGC-P04-13: 4,66) con las prácticas externas es muy elevada.</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PD-ESI-5.1.- La satisfacción del alumnado con los recursos materiales e infraestructuras del título (ISGC-P06-03) ha descendido a 3,46 sobre 5, por debajo del centro (3,60).</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AM-ESI-5.1.- Trasladar a la Dirección del centro y al Vicerrectorado competente las necesidades específicas de talleres, aulas de diseño y equipamiento de prototipado, priorizando la renovación del software y del equipamiento de maquetación.</w:t>
            </w:r>
          </w:p>
        </w:tc>
      </w:tr>
      <w:tr w:rsidR="00BB7AF6" w:rsidRPr="00037BD7" w14:paraId="313E4FFC" w14:textId="77777777" w:rsidTr="00D82372">
        <w:trPr>
          <w:jc w:val="center"/>
        </w:trPr>
        <w:tc>
          <w:tcPr>
            <w:tcW w:w="2722" w:type="pct"/>
            <w:tcBorders>
              <w:bottom w:val="single" w:sz="4" w:space="0" w:color="auto"/>
            </w:tcBorders>
            <w:shd w:val="clear" w:color="auto" w:fill="auto"/>
            <w:vAlign w:val="center"/>
          </w:tcPr>
          <w:p w14:paraId="6A4A3436"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PD-ESI-5.2.- La satisfacción del alumnado participante en programas de movilidad (ISGC-P04-15) se mantiene baja (2,73 sobre 5) y por debajo del centro (3,21) y de la UCA (3,37).</w:t>
            </w:r>
          </w:p>
        </w:tc>
        <w:tc>
          <w:tcPr>
            <w:tcW w:w="2278" w:type="pct"/>
            <w:tcBorders>
              <w:bottom w:val="single" w:sz="4" w:space="0" w:color="auto"/>
            </w:tcBorders>
            <w:shd w:val="clear" w:color="auto" w:fill="auto"/>
            <w:vAlign w:val="center"/>
          </w:tcPr>
          <w:p w14:paraId="3BC1E92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AM-ESI-5.2.- Revisar con la ORI y el coordinador de movilidad del título los acuerdos y la información previa a la estancia, y reforzar la tutorización académica del reconocimiento de créditos.</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pPr>
        <w:pStyle w:val="AGAETexto"/>
      </w:pPr>
      <w:r>
        <w:rPr>
          <w:color w:val="000000"/>
        </w:rPr>
        <w:t>Los resultados de aprendizaje del título se corresponden con el nivel 2 del MECES (Grado) y con los previstos en la memoria verificada, revisados en el proceso de renovación de la acreditación del curso 2022-23. Su consecución se verifica a través de los sistemas de evaluación recogidos en las guías docentes —revisadas y publicadas antes del inicio de cada curso— y, de forma integradora, mediante las prácticas externas y el Proyecto Fin de Grado (18 ECTS), evaluado ante tribunal con rúbrica común. Las calificaciones de las asignaturas de integración final avalan la adquisición de los resultados de aprendizaje: en Prácticas Curriculares el 83% del alumnado evaluado obtiene sobresaliente y en el Proyecto Fin de Grado el 34% se sitúa en notable o superior, con solo un 1% de suspensos entre los evaluados.</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pPr>
        <w:pStyle w:val="AGAETexto"/>
      </w:pPr>
      <w:r>
        <w:rPr>
          <w:color w:val="000000"/>
        </w:rPr>
        <w:t>Las actividades formativas del título combinan clases de teoría, resolución de problemas, prácticas de laboratorio y taller, y trabajo por proyectos en las asignaturas del ámbito del diseño, que constituyen el eje metodológico propio de la titulación. Los sistemas de evaluación, recogidos en las guías docentes, combinan pruebas finales con evaluación continua y entrega de proyectos y portafolios. El proceso de elaboración y defensa del Proyecto Fin de Grado es coherente con la normativa de la Universidad de Cádiz y con el reglamento del centro, y su evaluación mediante rúbrica común garantiza la homogeneidad. Las prácticas externas se desarrollan con tutorización académica y de la entidad colaboradora, e incorporan informe del tutor externo y memoria del estudiante.</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pPr>
        <w:pStyle w:val="AGAETexto"/>
      </w:pPr>
      <w:r>
        <w:rPr>
          <w:color w:val="000000"/>
        </w:rPr>
        <w:t>Los indicadores académicos del título y su evolución se recogen en el Anexo I. La memoria verificada fija en su apartado 8.1 los siguientes valores esperados: tasa de graduación 20±5%, tasa de abandono 20±5%, tasa de eficiencia 65±5% y tasa de rendimiento 50±5%. La comparación de los resultados del curso 2024-25 con esos objetivos es la siguiente: la tasa de rendimiento (62,3%) supera con holgura el objetivo del 50±5%; la tasa de eficiencia (74,3%) supera el objetivo del 65±5%; la tasa de abandono (17,0%) se sitúa dentro del objetivo del 20±5%; y solo la tasa de graduación (14,9%) queda por debajo del objetivo del 20±5%.</w:t>
      </w:r>
    </w:p>
    <w:p>
      <w:pPr>
        <w:pStyle w:val="AGAETexto"/>
      </w:pPr>
      <w:r>
        <w:rPr>
          <w:color w:val="000000"/>
        </w:rPr>
        <w:t>ISGC-P04-01, ISGC-P04-02 e ISGC-P04-03: Tasas de rendimiento, éxito y evaluación. En 2024-25 se sitúan en el 62,3%, 75,5% y 82,5% respectivamente. La serie de rendimiento (70,7% | 64,2% | 65,6% | 63,7% | 62,3%) muestra un descenso lento pero sostenido desde 2020-21 que conviene vigilar, si bien el valor sigue muy por encima del objetivo de la memoria (50±5%) y del conjunto del centro (60,5%, 73,3% y 82,5%) en todos los cursos analizados. La distancia con la media de la UCA (75,1%, 84,4% y 89,0%) es la habitual en los títulos de la rama industrial.</w:t>
      </w:r>
    </w:p>
    <w:p>
      <w:pPr>
        <w:pStyle w:val="AGAETexto"/>
      </w:pPr>
      <w:r>
        <w:rPr>
          <w:color w:val="000000"/>
        </w:rPr>
        <w:t>ISGC-P04-04: Tasa de abandono. Es el indicador con mejor evolución del título: ha pasado del 34,5% en 2020-21 al 17,0% en 2024-25, con una reducción a menos de la mitad, se sitúa dentro del objetivo de la memoria (20±5%) y muy por debajo del centro (32,4%) y de la media de la UCA (26,9%). Consideramos que es un punto fuerte (PF-ESI-6.2), lo relacionamos con la mejora de la acogida y la orientación del alumnado de primer curso, y entendemos que da respuesta a la Recomendación 6.2 del informe de ACCUA sobre el seguimiento minucioso de este indicador.</w:t>
      </w:r>
    </w:p>
    <w:p>
      <w:pPr>
        <w:pStyle w:val="AGAETexto"/>
      </w:pPr>
      <w:r>
        <w:rPr>
          <w:color w:val="000000"/>
        </w:rPr>
        <w:t>ISGC-P04-05: Tasa de graduación. Se sitúa en el 14,9% en 2024-25, por debajo del objetivo de la memoria (20±5%), con una serie muy variable (30,9% | 10,9% | 18,5% | 7,7% | 14,9%) característica de cohortes reducidas. El valor supera el del centro (14,0%) pero queda muy por debajo de la media de la UCA (40,0%). Lo relacionamos directamente con el elevado porcentaje de no presentados en el Proyecto Fin de Grado (40%) y con la incorporación temprana del alumnado al mercado laboral, que retrasa la defensa del TFG. Se mantiene como punto débil (PD-ESI-6.1), con acción de seguimiento nominal del alumnado con el TFG pendiente (AM-ESI-6.1), y como Subsanación 6.1 de ACCUA no resuelta.</w:t>
      </w:r>
    </w:p>
    <w:p>
      <w:pPr>
        <w:pStyle w:val="AGAETexto"/>
      </w:pPr>
      <w:r>
        <w:rPr>
          <w:color w:val="000000"/>
        </w:rPr>
        <w:t>Debe advertirse una discrepancia relevante en este indicador: el valor del curso 2023-24 publicado en el autoinforme aprobado del curso 23/24 es del 7,7%, mientras que la extracción en vivo de LinceBI de 26/07/2026 devuelve un 34,6% para ese mismo curso, como consecuencia del recálculo de las cohortes. Se ha conservado el valor del autoinforme aprobado por trazabilidad y se traslada la discrepancia a la coordinación y a la CGC para que decidan qué versión consolidar. Discrepancias menores del mismo origen se observan en la tasa de eficiencia de 2023-24 (75,4% publicado frente a 76,0% en vivo), en la duración media (6,3 frente a 6,2 años) y en los indicadores DOCENTIA ISGC-P05-05 a 07.</w:t>
      </w:r>
    </w:p>
    <w:p>
      <w:pPr>
        <w:pStyle w:val="AGAETexto"/>
      </w:pPr>
      <w:r>
        <w:rPr>
          <w:color w:val="000000"/>
        </w:rPr>
        <w:t>ISGC-P04-06 e ISGC-P04-07: Tasa de eficiencia y duración media de los estudios. La eficiencia se mantiene estable en el 74,3% (76,9% | 75,8% | 73,9% | 75,4% | 74,3%), por encima del objetivo de la memoria (65±5%) y del centro (72,1%). La duración media es de 6,3 años, valor prácticamente idéntico al del centro (6,34) pero muy superior a los cuatro años previstos en el plan de estudios; es el aspecto de la Subsanación 6.1 de ACCUA que sigue pendiente y se explica por el patrón de matrícula a tiempo parcial de una parte del alumnado y por el retraso en la defensa del TFG.</w:t>
      </w:r>
    </w:p>
    <w:p>
      <w:pPr>
        <w:pStyle w:val="AGAETexto"/>
      </w:pPr>
      <w:r>
        <w:rPr>
          <w:color w:val="000000"/>
        </w:rPr>
        <w:t>Análisis de las calificaciones por asignatura (Anexo IV). Los resultados globales del plan en 2024-25 son del 20% de no presentados, 14% de suspensos, 35% de aprobados, 22% de notables y 3% de sobresalientes. Se identifica un grupo de asignaturas de formación básica y común con tasas de suspensos superiores al 25%: Física II (42% de suspensos y 39% de no presentados), Ingeniería Energética y Fluidomecánica (35%), Resistencia de Materiales (34%), Fundamentos de Ingeniería Eléctrica (33%), Diseño Asistido por Ordenador (27%), Fundamentos de Informática (26%, con un 48% de no presentados) y Teoría de Mecanismos y Máquinas (25%, con un 39% de no presentados). Los porcentajes elevados de no presentados en Cálculo (31%), Expresión Gráfica y Diseño Asistido (32%), Química (32%) y Física I (36%) apuntan a una concentración de la dificultad en el primer curso y a estrategias de aplazamiento de la evaluación por parte del alumnado.</w:t>
      </w:r>
    </w:p>
    <w:p>
      <w:pPr>
        <w:pStyle w:val="AGAETexto"/>
      </w:pPr>
      <w:r>
        <w:rPr>
          <w:color w:val="000000"/>
        </w:rPr>
        <w:t>En contraste, el título cuenta con un conjunto consolidado de asignaturas de excelencia en el ámbito propio del diseño: Calidad y Gestión del Diseño (95% de notables y sobresalientes), Creación Digital (89% de notables), Proyectos de Diseño (92% de notables y sobresalientes), Taller de Diseño (100% de notables o superior), Fotografía y Tratamiento Digital (100%) y Creación de Nuevos Productos (100%). Este perfil confirma que el alumnado alcanza con holgura los resultados de aprendizaje específicos del título y que las dificultades se concentran en las materias básicas de la rama industrial, lo que orienta las acciones de mejora hacia el refuerzo del primer curso y la coordinación de las cargas de trabajo (PD-ESI-6.2 y AM-ESI-6.2).</w:t>
      </w:r>
    </w:p>
    <w:p>
      <w:pPr>
        <w:pStyle w:val="AGAETexto"/>
      </w:pPr>
      <w:r>
        <w:rPr>
          <w:color w:val="000000"/>
        </w:rPr>
        <w:t>En conjunto, consideramos que los resultados del programa formativo se adecúan a los objetivos formativos del plan de estudios: tres de las cuatro tasas previstas en la memoria verificada se cumplen o se superan, y la única que no lo hace —la tasa de graduación— tiene identificada su causa principal (los no presentados del Proyecto Fin de Grado) y su acción de mejora en el plan.</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Matrículas de honor</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Física II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42 %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16 %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65CA5494"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3F7B7DE"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Fundamentos de Informática</w:t>
            </w:r>
          </w:p>
        </w:tc>
        <w:tc>
          <w:tcPr>
            <w:tcW w:w="648" w:type="pct"/>
            <w:tcBorders>
              <w:top w:val="single" w:sz="4" w:space="0" w:color="auto"/>
              <w:left w:val="single" w:sz="4" w:space="0" w:color="auto"/>
              <w:bottom w:val="single" w:sz="4" w:space="0" w:color="auto"/>
              <w:right w:val="single" w:sz="4" w:space="0" w:color="auto"/>
            </w:tcBorders>
            <w:vAlign w:val="center"/>
          </w:tcPr>
          <w:p w14:paraId="21557A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26 %</w:t>
            </w:r>
          </w:p>
        </w:tc>
        <w:tc>
          <w:tcPr>
            <w:tcW w:w="743" w:type="pct"/>
            <w:tcBorders>
              <w:top w:val="single" w:sz="4" w:space="0" w:color="auto"/>
              <w:left w:val="single" w:sz="4" w:space="0" w:color="auto"/>
              <w:bottom w:val="single" w:sz="4" w:space="0" w:color="auto"/>
              <w:right w:val="single" w:sz="4" w:space="0" w:color="auto"/>
            </w:tcBorders>
            <w:vAlign w:val="center"/>
          </w:tcPr>
          <w:p w14:paraId="6736D86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21 %</w:t>
            </w:r>
          </w:p>
        </w:tc>
        <w:tc>
          <w:tcPr>
            <w:tcW w:w="743" w:type="pct"/>
            <w:tcBorders>
              <w:top w:val="single" w:sz="4" w:space="0" w:color="auto"/>
              <w:left w:val="single" w:sz="4" w:space="0" w:color="auto"/>
              <w:bottom w:val="single" w:sz="4" w:space="0" w:color="auto"/>
              <w:right w:val="single" w:sz="4" w:space="0" w:color="auto"/>
            </w:tcBorders>
            <w:vAlign w:val="center"/>
          </w:tcPr>
          <w:p w14:paraId="3E189EF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4 %</w:t>
            </w:r>
          </w:p>
        </w:tc>
        <w:tc>
          <w:tcPr>
            <w:tcW w:w="743" w:type="pct"/>
            <w:tcBorders>
              <w:top w:val="single" w:sz="4" w:space="0" w:color="auto"/>
              <w:left w:val="single" w:sz="4" w:space="0" w:color="auto"/>
              <w:bottom w:val="single" w:sz="4" w:space="0" w:color="auto"/>
              <w:right w:val="single" w:sz="4" w:space="0" w:color="auto"/>
            </w:tcBorders>
            <w:vAlign w:val="center"/>
          </w:tcPr>
          <w:p w14:paraId="51964DE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tcPr>
          <w:p w14:paraId="0E3691C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E8315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1 %</w:t>
            </w:r>
          </w:p>
        </w:tc>
      </w:tr>
      <w:tr w:rsidR="00A312C8" w:rsidRPr="00E655F8" w14:paraId="2F439818"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E1BA3F5"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Taller de Diseño</w:t>
            </w:r>
          </w:p>
        </w:tc>
        <w:tc>
          <w:tcPr>
            <w:tcW w:w="648" w:type="pct"/>
            <w:tcBorders>
              <w:top w:val="single" w:sz="4" w:space="0" w:color="auto"/>
              <w:left w:val="single" w:sz="4" w:space="0" w:color="auto"/>
              <w:bottom w:val="single" w:sz="4" w:space="0" w:color="auto"/>
              <w:right w:val="single" w:sz="4" w:space="0" w:color="auto"/>
            </w:tcBorders>
            <w:vAlign w:val="center"/>
          </w:tcPr>
          <w:p w14:paraId="256DC0F4"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7E90070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766ADF8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43 %</w:t>
            </w:r>
          </w:p>
        </w:tc>
        <w:tc>
          <w:tcPr>
            <w:tcW w:w="743" w:type="pct"/>
            <w:tcBorders>
              <w:top w:val="single" w:sz="4" w:space="0" w:color="auto"/>
              <w:left w:val="single" w:sz="4" w:space="0" w:color="auto"/>
              <w:bottom w:val="single" w:sz="4" w:space="0" w:color="auto"/>
              <w:right w:val="single" w:sz="4" w:space="0" w:color="auto"/>
            </w:tcBorders>
            <w:vAlign w:val="center"/>
          </w:tcPr>
          <w:p w14:paraId="7D0E103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50 %</w:t>
            </w:r>
          </w:p>
        </w:tc>
        <w:tc>
          <w:tcPr>
            <w:tcW w:w="741" w:type="pct"/>
            <w:tcBorders>
              <w:top w:val="single" w:sz="4" w:space="0" w:color="auto"/>
              <w:left w:val="single" w:sz="4" w:space="0" w:color="auto"/>
              <w:bottom w:val="single" w:sz="4" w:space="0" w:color="auto"/>
              <w:right w:val="single" w:sz="4" w:space="0" w:color="auto"/>
            </w:tcBorders>
          </w:tcPr>
          <w:p w14:paraId="1F91D80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3919D66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7 %</w:t>
            </w:r>
          </w:p>
        </w:tc>
      </w:tr>
      <w:tr w:rsidR="00A312C8" w:rsidRPr="00E655F8" w14:paraId="1CFD962E"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4F2EA6A9"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GLOBAL</w:t>
            </w:r>
          </w:p>
        </w:tc>
        <w:tc>
          <w:tcPr>
            <w:tcW w:w="648" w:type="pct"/>
            <w:tcBorders>
              <w:top w:val="single" w:sz="4" w:space="0" w:color="auto"/>
              <w:left w:val="single" w:sz="4" w:space="0" w:color="auto"/>
              <w:bottom w:val="single" w:sz="4" w:space="0" w:color="auto"/>
              <w:right w:val="single" w:sz="4" w:space="0" w:color="auto"/>
            </w:tcBorders>
            <w:hideMark/>
          </w:tcPr>
          <w:p w14:paraId="4BBC8858"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14 %</w:t>
            </w:r>
          </w:p>
        </w:tc>
        <w:tc>
          <w:tcPr>
            <w:tcW w:w="743" w:type="pct"/>
            <w:tcBorders>
              <w:top w:val="single" w:sz="4" w:space="0" w:color="auto"/>
              <w:left w:val="single" w:sz="4" w:space="0" w:color="auto"/>
              <w:bottom w:val="single" w:sz="4" w:space="0" w:color="auto"/>
              <w:right w:val="single" w:sz="4" w:space="0" w:color="auto"/>
            </w:tcBorders>
            <w:hideMark/>
          </w:tcPr>
          <w:p w14:paraId="1AC787D7"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35 %</w:t>
            </w:r>
          </w:p>
        </w:tc>
        <w:tc>
          <w:tcPr>
            <w:tcW w:w="743" w:type="pct"/>
            <w:tcBorders>
              <w:top w:val="single" w:sz="4" w:space="0" w:color="auto"/>
              <w:left w:val="single" w:sz="4" w:space="0" w:color="auto"/>
              <w:bottom w:val="single" w:sz="4" w:space="0" w:color="auto"/>
              <w:right w:val="single" w:sz="4" w:space="0" w:color="auto"/>
            </w:tcBorders>
            <w:hideMark/>
          </w:tcPr>
          <w:p w14:paraId="73B2FDD9"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22 %</w:t>
            </w:r>
          </w:p>
        </w:tc>
        <w:tc>
          <w:tcPr>
            <w:tcW w:w="743" w:type="pct"/>
            <w:tcBorders>
              <w:top w:val="single" w:sz="4" w:space="0" w:color="auto"/>
              <w:left w:val="single" w:sz="4" w:space="0" w:color="auto"/>
              <w:bottom w:val="single" w:sz="4" w:space="0" w:color="auto"/>
              <w:right w:val="single" w:sz="4" w:space="0" w:color="auto"/>
            </w:tcBorders>
            <w:hideMark/>
          </w:tcPr>
          <w:p w14:paraId="34C15742"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3 %</w:t>
            </w:r>
          </w:p>
        </w:tc>
        <w:tc>
          <w:tcPr>
            <w:tcW w:w="741" w:type="pct"/>
            <w:tcBorders>
              <w:top w:val="single" w:sz="4" w:space="0" w:color="auto"/>
              <w:left w:val="single" w:sz="4" w:space="0" w:color="auto"/>
              <w:bottom w:val="single" w:sz="4" w:space="0" w:color="auto"/>
              <w:right w:val="single" w:sz="4" w:space="0" w:color="auto"/>
            </w:tcBorders>
          </w:tcPr>
          <w:p w14:paraId="783D4854"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hideMark/>
          </w:tcPr>
          <w:p w14:paraId="620CB80C"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0 %</w:t>
            </w:r>
          </w:p>
        </w:tc>
      </w:tr>
    </w:tbl>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39FC116A" w14:textId="77777777" w:rsidR="00A312C8" w:rsidRPr="008F0836" w:rsidRDefault="00A312C8" w:rsidP="00A312C8">
      <w:pPr>
        <w:pStyle w:val="AGAETexto"/>
        <w:numPr>
          <w:ilvl w:val="0"/>
          <w:numId w:val="34"/>
        </w:numPr>
        <w:spacing w:before="0" w:after="0" w:line="240" w:lineRule="auto"/>
        <w:ind w:left="851"/>
        <w:rPr>
          <w:rFonts w:asciiTheme="minorHAnsi" w:hAnsiTheme="minorHAnsi" w:cstheme="minorHAnsi"/>
          <w:i/>
          <w:color w:val="FF0000"/>
          <w:sz w:val="20"/>
          <w:szCs w:val="20"/>
        </w:rPr>
      </w:pPr>
      <w:r w:rsidRPr="00E655F8">
        <w:rPr>
          <w:rFonts w:asciiTheme="minorHAnsi" w:hAnsiTheme="minorHAnsi" w:cstheme="minorHAnsi"/>
          <w:i/>
          <w:color w:val="00B0F0"/>
          <w:sz w:val="20"/>
          <w:szCs w:val="20"/>
        </w:rPr>
        <w:t>Resultados globales de la titulación de los últimos seis años:</w:t>
      </w:r>
      <w:r>
        <w:rPr>
          <w:rFonts w:asciiTheme="minorHAnsi" w:hAnsiTheme="minorHAnsi" w:cstheme="minorHAnsi"/>
          <w:i/>
          <w:color w:val="00B0F0"/>
          <w:sz w:val="20"/>
          <w:szCs w:val="20"/>
        </w:rPr>
        <w:t xml:space="preserve"> </w:t>
      </w:r>
    </w:p>
    <w:p w14:paraId="1634E05C"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0000"/>
          <w:sz w:val="20"/>
          <w:szCs w:val="20"/>
        </w:rPr>
        <w:t>Tasa de rendimiento (ISGC-P04-01), objetivo de la memoria 50±5%: 78,1% (2019-20) | 70,7% (2020-21) | 64,2% (2021-22) | 65,6% (2022-23) | 63,7% (2023-24) | 62,3% (2024-25). Se supera el objetivo en los seis cursos, con una tendencia descendente que se mantiene en seguimiento.</w:t>
      </w:r>
      <w:r>
        <w:rPr>
          <w:rFonts w:asciiTheme="minorHAnsi" w:hAnsiTheme="minorHAnsi" w:cstheme="minorHAnsi"/>
          <w:i/>
          <w:color w:val="FF0000"/>
          <w:sz w:val="20"/>
          <w:szCs w:val="20"/>
        </w:rPr>
      </w:r>
      <w:r w:rsidRPr="00E655F8">
        <w:rPr>
          <w:rFonts w:asciiTheme="minorHAnsi" w:eastAsiaTheme="minorHAnsi" w:hAnsiTheme="minorHAnsi" w:cstheme="minorHAnsi"/>
          <w:i/>
          <w:color w:val="FF0000"/>
          <w:sz w:val="20"/>
          <w:szCs w:val="20"/>
        </w:rPr>
      </w:r>
      <w:r>
        <w:rPr>
          <w:rFonts w:asciiTheme="minorHAnsi" w:hAnsiTheme="minorHAnsi" w:cstheme="minorHAnsi"/>
          <w:i/>
          <w:color w:val="FF0000"/>
          <w:sz w:val="20"/>
          <w:szCs w:val="20"/>
        </w:rPr>
      </w:r>
      <w:r w:rsidRPr="008F0836">
        <w:rPr>
          <w:rFonts w:asciiTheme="minorHAnsi" w:hAnsiTheme="minorHAnsi" w:cstheme="minorHAnsi"/>
          <w:i/>
          <w:color w:val="FF0000"/>
          <w:sz w:val="20"/>
          <w:szCs w:val="20"/>
        </w:rPr>
      </w:r>
    </w:p>
    <w:p w14:paraId="058FDC87"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0000"/>
          <w:sz w:val="20"/>
          <w:szCs w:val="20"/>
        </w:rPr>
        <w:t>Tasa de eficiencia (ISGC-P04-06), objetivo de la memoria 65±5%: 79,7% (2019-20) | 76,9% (2020-21) | 75,8% (2021-22) | 73,9% (2022-23) | 75,4% (2023-24) | 74,3% (2024-25). Se supera el objetivo en los seis cursos.</w:t>
      </w:r>
      <w:proofErr w:type="gramStart"/>
      <w:r w:rsidRPr="00E655F8">
        <w:rPr>
          <w:rFonts w:asciiTheme="minorHAnsi" w:hAnsiTheme="minorHAnsi" w:cstheme="minorHAnsi"/>
          <w:i/>
          <w:color w:val="00B0F0"/>
          <w:sz w:val="20"/>
          <w:szCs w:val="20"/>
        </w:rPr>
      </w:r>
      <w:r>
        <w:rPr>
          <w:rFonts w:asciiTheme="minorHAnsi" w:hAnsiTheme="minorHAnsi" w:cstheme="minorHAnsi"/>
          <w:i/>
          <w:color w:val="00B0F0"/>
          <w:sz w:val="20"/>
          <w:szCs w:val="20"/>
        </w:rPr>
      </w:r>
      <w:r>
        <w:rPr>
          <w:rFonts w:asciiTheme="minorHAnsi" w:hAnsiTheme="minorHAnsi" w:cstheme="minorHAnsi"/>
          <w:i/>
          <w:color w:val="FF0000"/>
          <w:sz w:val="20"/>
          <w:szCs w:val="20"/>
        </w:rPr>
      </w:r>
      <w:proofErr w:type="gramEnd"/>
      <w:r>
        <w:rPr>
          <w:rFonts w:asciiTheme="minorHAnsi" w:hAnsiTheme="minorHAnsi" w:cstheme="minorHAnsi"/>
          <w:i/>
          <w:color w:val="FF0000"/>
          <w:sz w:val="20"/>
          <w:szCs w:val="20"/>
        </w:rPr>
      </w:r>
      <w:r w:rsidRPr="00E655F8">
        <w:rPr>
          <w:rFonts w:asciiTheme="minorHAnsi" w:eastAsiaTheme="minorHAnsi" w:hAnsiTheme="minorHAnsi" w:cstheme="minorHAnsi"/>
          <w:i/>
          <w:color w:val="FF0000"/>
          <w:sz w:val="20"/>
          <w:szCs w:val="20"/>
        </w:rPr>
      </w:r>
      <w:r>
        <w:rPr>
          <w:rFonts w:asciiTheme="minorHAnsi" w:hAnsiTheme="minorHAnsi" w:cstheme="minorHAnsi"/>
          <w:i/>
          <w:color w:val="FF0000"/>
          <w:sz w:val="20"/>
          <w:szCs w:val="20"/>
        </w:rPr>
      </w:r>
      <w:r w:rsidRPr="008F0836">
        <w:rPr>
          <w:rFonts w:asciiTheme="minorHAnsi" w:hAnsiTheme="minorHAnsi" w:cstheme="minorHAnsi"/>
          <w:i/>
          <w:color w:val="FF0000"/>
          <w:sz w:val="20"/>
          <w:szCs w:val="20"/>
        </w:rPr>
      </w:r>
      <w:r>
        <w:rPr>
          <w:rFonts w:asciiTheme="minorHAnsi" w:hAnsiTheme="minorHAnsi" w:cstheme="minorHAnsi"/>
          <w:i/>
          <w:color w:val="FF0000"/>
          <w:sz w:val="20"/>
          <w:szCs w:val="20"/>
        </w:rPr>
      </w:r>
    </w:p>
    <w:p w14:paraId="7B0BD5DF"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0000"/>
          <w:sz w:val="20"/>
          <w:szCs w:val="20"/>
        </w:rPr>
        <w:t>Tasa de graduación (ISGC-P04-05), objetivo de la memoria 20±5%: 16,3% (2019-20) | 30,9% (2020-21) | 10,9% (2021-22) | 18,5% (2022-23) | 7,7% (2023-24) | 14,9% (2024-25). Solo se alcanza el objetivo en 2020-21 y 2022-23; es el indicador que concentra la acción de mejora AM-ESI-6.1.</w:t>
      </w:r>
      <w:r>
        <w:rPr>
          <w:rFonts w:asciiTheme="minorHAnsi" w:hAnsiTheme="minorHAnsi" w:cstheme="minorHAnsi"/>
          <w:i/>
          <w:color w:val="00B0F0"/>
          <w:sz w:val="20"/>
          <w:szCs w:val="20"/>
        </w:rPr>
      </w:r>
      <w:r>
        <w:rPr>
          <w:rFonts w:asciiTheme="minorHAnsi" w:hAnsiTheme="minorHAnsi" w:cstheme="minorHAnsi"/>
          <w:i/>
          <w:color w:val="FF0000"/>
          <w:sz w:val="20"/>
          <w:szCs w:val="20"/>
        </w:rPr>
      </w:r>
      <w:r w:rsidRPr="00E655F8">
        <w:rPr>
          <w:rFonts w:asciiTheme="minorHAnsi" w:eastAsiaTheme="minorHAnsi" w:hAnsiTheme="minorHAnsi" w:cstheme="minorHAnsi"/>
          <w:i/>
          <w:color w:val="FF0000"/>
          <w:sz w:val="20"/>
          <w:szCs w:val="20"/>
        </w:rPr>
      </w:r>
      <w:r>
        <w:rPr>
          <w:rFonts w:asciiTheme="minorHAnsi" w:hAnsiTheme="minorHAnsi" w:cstheme="minorHAnsi"/>
          <w:i/>
          <w:color w:val="FF0000"/>
          <w:sz w:val="20"/>
          <w:szCs w:val="20"/>
        </w:rPr>
      </w:r>
    </w:p>
    <w:p w14:paraId="1018BA02"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0000"/>
          <w:sz w:val="20"/>
          <w:szCs w:val="20"/>
        </w:rPr>
        <w:t>Tasa de abandono (ISGC-P04-04), objetivo de la memoria 20±5%: 38,8% (2019-20) | 34,5% (2020-21) | 32,7% (2021-22) | 14,8% (2022-23) | 15,4% (2023-24) | 17,0% (2024-25). El indicador entra en el rango del objetivo desde el curso 2022-23.</w:t>
      </w:r>
      <w:r>
        <w:rPr>
          <w:rFonts w:asciiTheme="minorHAnsi" w:hAnsiTheme="minorHAnsi" w:cstheme="minorHAnsi"/>
          <w:i/>
          <w:color w:val="00B0F0"/>
          <w:sz w:val="20"/>
          <w:szCs w:val="20"/>
        </w:rPr>
      </w:r>
      <w:r>
        <w:rPr>
          <w:rFonts w:asciiTheme="minorHAnsi" w:hAnsiTheme="minorHAnsi" w:cstheme="minorHAnsi"/>
          <w:i/>
          <w:color w:val="FF0000"/>
          <w:sz w:val="20"/>
          <w:szCs w:val="20"/>
        </w:rPr>
      </w:r>
      <w:r w:rsidRPr="00E655F8">
        <w:rPr>
          <w:rFonts w:asciiTheme="minorHAnsi" w:eastAsiaTheme="minorHAnsi" w:hAnsiTheme="minorHAnsi" w:cstheme="minorHAnsi"/>
          <w:i/>
          <w:color w:val="FF0000"/>
          <w:sz w:val="20"/>
          <w:szCs w:val="20"/>
        </w:rPr>
      </w:r>
      <w:r>
        <w:rPr>
          <w:rFonts w:asciiTheme="minorHAnsi" w:hAnsiTheme="minorHAnsi" w:cstheme="minorHAnsi"/>
          <w:i/>
          <w:color w:val="FF0000"/>
          <w:sz w:val="20"/>
          <w:szCs w:val="20"/>
        </w:rPr>
      </w:r>
      <w:r w:rsidRPr="008F0836">
        <w:rPr>
          <w:rFonts w:asciiTheme="minorHAnsi" w:hAnsiTheme="minorHAnsi" w:cstheme="minorHAnsi"/>
          <w:i/>
          <w:color w:val="FF0000"/>
          <w:sz w:val="20"/>
          <w:szCs w:val="20"/>
        </w:rPr>
      </w:r>
      <w:r>
        <w:rPr>
          <w:rFonts w:asciiTheme="minorHAnsi" w:hAnsiTheme="minorHAnsi" w:cstheme="minorHAnsi"/>
          <w:i/>
          <w:color w:val="FF0000"/>
          <w:sz w:val="20"/>
          <w:szCs w:val="20"/>
        </w:rPr>
      </w:r>
    </w:p>
    <w:p w14:paraId="0B43FBA1"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0000"/>
          <w:sz w:val="20"/>
          <w:szCs w:val="20"/>
        </w:rPr>
        <w:t>Resultados globales del primer curso de los últimos años (tasas de abandono, presentados, éxito y rendimiento de primer curso): estos indicadores desagregados deben descargarse del Sistema de Información de la UCA y quedan PENDIENTES de incorporación por la coordinación del título.</w:t>
      </w: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pPr>
        <w:pStyle w:val="AGAETexto"/>
      </w:pPr>
      <w:r>
        <w:rPr>
          <w:color w:val="000000"/>
        </w:rPr>
        <w:t>ISGC-P07-02: Grado de satisfacción global del alumnado con el título. El indicador se sitúa en 3,59 sobre 5 en 2024-25, con una tendencia de mejora sostenida desde 2020-21 (3,47 | 3,38 | 3,58 | 3,82 | 3,59) que sitúa al título por encima del conjunto del centro (3,53) y en el entorno de la media de la UCA (3,63). La tasa de respuesta del alumnado (ISGC-P07-01_01) es del 23,87%, superior a la del centro (20,21%) aunque inferior a la de la UCA (31,02%); la baja participación en las encuestas sigue siendo una debilidad arrastrada del autoinforme anterior (PD-ESI-1.2) y se mantiene en el plan de mejora.</w:t>
      </w:r>
    </w:p>
    <w:p>
      <w:pPr>
        <w:pStyle w:val="AGAETexto"/>
      </w:pPr>
      <w:r>
        <w:rPr>
          <w:color w:val="000000"/>
        </w:rPr>
        <w:t>Los indicadores del Buzón de Atención al Usuario (ISGC-P07-11 a 14) muestran valores muy reducidos: un 1,32% de quejas o reclamaciones y un 0,79% de incidencias docentes respecto al número de usuarios en 2024-25, sin sugerencias ni felicitaciones registradas. El incremento de las quejas respecto al curso anterior (0,80%) es leve pero se sitúa por encima del centro (0,69%) y de la UCA (0,66%), por lo que se mantendrá su seguimiento en la CGC.</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PF-ESI-6.1.- Las tasas de rendimiento (62,3%), eficiencia (74,3%) y abandono (17,0%) superan los objetivos fijados en la memoria verificada (50±5%, 65±5% y 20±5% respectivamente) y se mantienen por encima de los valores del centro en los cinco cursos analizados.</w:t>
              <w:br/>
              <w:t>- PF-ESI-6.2.- La tasa de abandono se ha reducido del 34,5% al 17,0% en cinco cursos, muy por debajo del centro (32,4%) y de la UCA (26,9%), lo que da respuesta a la Recomendación 6.2 del informe de ACCUA.</w:t>
              <w:br/>
              <w:t>- PF-ESI-6.3.- El título cuenta con un grupo consolidado de asignaturas de excelencia del ámbito del diseño (Calidad y Gestión del Diseño, Creación Digital, Proyectos de Diseño, Taller de Diseño, Fotografía y Tratamiento Digital) con más del 90% del alumnado en calificaciones de notable o superior.</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PD-ESI-6.1.- La tasa de graduación (ISGC-P04-05: 14,9%) se mantiene por debajo del objetivo de la memoria verificada (20±5%) y la duración media de los estudios (ISGC-P04-07: 6,3 años) excede los 4 años previstos, con un 40% de no presentados en el Proyecto Fin de Grado. Subsanación 6.1 de ACCUA no resuelta.</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AM-ESI-6.1.- Implantar un seguimiento nominal del alumnado con el TFG pendiente (recordatorios de matrícula y convocatoria, asignación temprana de tutor y control de hitos), y analizar en la CGC los resultados por cohorte.</w:t>
            </w:r>
          </w:p>
        </w:tc>
      </w:tr>
      <w:tr w:rsidR="00C3162D" w:rsidRPr="00EA51D0" w14:paraId="281DA651" w14:textId="77777777" w:rsidTr="0021618A">
        <w:trPr>
          <w:jc w:val="center"/>
        </w:trPr>
        <w:tc>
          <w:tcPr>
            <w:tcW w:w="2591" w:type="pct"/>
            <w:tcBorders>
              <w:bottom w:val="single" w:sz="4" w:space="0" w:color="auto"/>
            </w:tcBorders>
            <w:shd w:val="clear" w:color="auto" w:fill="auto"/>
            <w:vAlign w:val="center"/>
          </w:tcPr>
          <w:p w14:paraId="1AB0C8E1"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PD-ESI-6.2.- Se concentra un grupo de asignaturas de formación básica y común con tasas de suspensos y de no presentados elevadas: Física II (42% suspensos, 39% NP), Fundamentos de Ingeniería Eléctrica (33%), Ingeniería Energética y Fluidomecánica (35%), Resistencia de Materiales (34%), Fundamentos de Informática (26% y 48% NP), Cálculo (18% y 31% NP) y Teoría de Mecanismos y Máquinas (25% y 39% NP).</w:t>
            </w:r>
          </w:p>
        </w:tc>
        <w:tc>
          <w:tcPr>
            <w:tcW w:w="2409" w:type="pct"/>
            <w:tcBorders>
              <w:bottom w:val="single" w:sz="4" w:space="0" w:color="auto"/>
            </w:tcBorders>
            <w:shd w:val="clear" w:color="auto" w:fill="auto"/>
            <w:vAlign w:val="center"/>
          </w:tcPr>
          <w:p w14:paraId="0B1729C6"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AM-ESI-6.2.- Analizar en la CGC, con los coordinadores de las asignaturas afectadas, las metodologías y los sistemas de evaluación continua, y reforzar las acciones de apoyo al alumnado de primer curso (tutorías, seminarios de refuerzo y coordinación de cargas de trabajo).</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pPr>
        <w:pStyle w:val="AGAETexto"/>
      </w:pPr>
      <w:r>
        <w:rPr>
          <w:color w:val="000000"/>
        </w:rPr>
        <w:t>Además de los servicios generales de la Universidad de Cádiz descritos, el título participa en el Programa de Orientación y Apoyo al Estudiante (PROA) del centro, que incluye las jornadas de acogida del alumnado de nuevo ingreso, la tutorización por curso y las sesiones informativas sobre movilidad, prácticas y Proyecto Fin de Grado. En respuesta a la Subsanación 7.2 del informe de ACCUA, el centro ha desarrollado un Plan de Acción Tutorial (PAT) en el que el alumnado mentor del PROA cuenta con un profesor asignado para su orientación académica y profesional, y ha reforzado la difusión de los eventos de orientación y del Plan Integral de Formación para el Empleo. En el ámbito profesional, el alumnado dispone además del portal ICARO y de la Feria de Empleo de la UCA, complementados con las actividades organizadas por el centro con empresas del sector del diseño y la fabricación.</w:t>
      </w:r>
    </w:p>
    <w:p>
      <w:pPr>
        <w:pStyle w:val="AGAETexto"/>
      </w:pPr>
      <w:r>
        <w:rPr>
          <w:color w:val="000000"/>
        </w:rPr>
        <w:t>ISGC-P06-01: Grado de satisfacción del alumnado con los programas y actividades de apoyo y orientación académica. El indicador se sitúa en 2,76 sobre 5 en 2024-25, tras el 3,21 del curso anterior, y por debajo del centro (2,96) y de la UCA (3,16). La serie (2,87 | 2,80 | 2,81 | 3,21 | 2,76) muestra que la mejora de 2023-24 no se ha consolidado.</w:t>
      </w:r>
    </w:p>
    <w:p>
      <w:pPr>
        <w:pStyle w:val="AGAETexto"/>
      </w:pPr>
      <w:r>
        <w:rPr>
          <w:color w:val="000000"/>
        </w:rPr>
        <w:t>ISGC-P06-02: Grado de satisfacción del alumnado con los programas y actividades de orientación profesional. El indicador retrocede a 2,61 sobre 5 desde el 2,92 del curso anterior y se sitúa por debajo del centro (2,81) y de la UCA (2,99). Ambos indicadores, los más bajos del conjunto analizado, obligan a considerar la Subsanación 7.2 de ACCUA como no resuelta y se recogen como punto débil (PD-ESI-7.1) con una acción de mejora orientada a mantener el PAT y a programar y difundir actividades específicas de orientación profesional del ámbito del diseño industrial (AM-ESI-7.1).</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pPr>
        <w:pStyle w:val="AGAETexto"/>
      </w:pPr>
      <w:r>
        <w:rPr>
          <w:color w:val="000000"/>
        </w:rPr>
        <w:t>Los indicadores de empleabilidad se refieren a cohortes de egreso y no a cursos académicos, dado que la encuesta se realiza a los egresados dos o tres cursos después de finalizar sus estudios. Deben interpretarse con cautela por la baja participación: en la cohorte 2022-23 la tasa de respuesta (ISGC-P07-01_03) es del 7,14% (2 encuestas de 28 egresados), frente al 18,60% de la cohorte 2021-22 (8 de 43). Además, la Universidad modificó el cálculo de los indicadores ISGC-P07-05 a 08 a partir de la cohorte 2022-23, por lo que el último valor de la serie no es directamente comparable con los anteriores.</w:t>
      </w:r>
    </w:p>
    <w:p>
      <w:pPr>
        <w:pStyle w:val="AGAETexto"/>
      </w:pPr>
      <w:r>
        <w:rPr>
          <w:color w:val="000000"/>
        </w:rPr>
        <w:t>ISGC-P07-05: Tasa de inserción profesional en cualquier sector. La serie por año de egreso es 66,67% (2018-19) | 100,00% (2019-20) | 60,00% (2020-21) | 62,50% (2021-22) | 3,57% (2022-23). El valor de la última cohorte responde al cambio de fórmula señalado —coincide con la tasa de respuesta de la encuesta— y no debe interpretarse como una caída real de la inserción, extremo que se traslada a la Unidad de Calidad para su verificación.</w:t>
      </w:r>
    </w:p>
    <w:p>
      <w:pPr>
        <w:pStyle w:val="AGAETexto"/>
      </w:pPr>
      <w:r>
        <w:rPr>
          <w:color w:val="000000"/>
        </w:rPr>
        <w:t>ISGC-P07-06: Tasa efectiva de inserción profesional en un sector relacionado con los estudios. Alcanza el 100,00% en la cohorte 2022-23, por encima del centro (87,10%), con una serie de 100,00% | 50,00% | 100,00% | 60,00% | 100,00%. Aun con las cautelas derivadas del tamaño de la muestra, valoramos positivamente que el alumnado que se inserta lo haga en empleos relacionados con el perfil del título.</w:t>
      </w:r>
    </w:p>
    <w:p>
      <w:pPr>
        <w:pStyle w:val="AGAETexto"/>
      </w:pPr>
      <w:r>
        <w:rPr>
          <w:color w:val="000000"/>
        </w:rPr>
        <w:t>ISGC-P07-07 e ISGC-P07-08: Tasa de autoempleo y tasa de inserción con movilidad geográfica. El autoempleo es nulo en todas las cohortes con dato y la inserción con movilidad geográfica presenta valores muy variables (0,00% | 100,00% | 33,33% | 60,00% | 0,00%), coherentes con el reducido número de respuestas.</w:t>
      </w:r>
    </w:p>
    <w:p>
      <w:pPr>
        <w:pStyle w:val="AGAETexto"/>
      </w:pPr>
      <w:r>
        <w:rPr>
          <w:color w:val="000000"/>
        </w:rPr>
        <w:t>La debilidad detectada en el autoinforme del curso 23/24 sobre la evolución de la empleabilidad y la satisfacción del alumnado egresado (PD-ESI-7.1) no puede considerarse resuelta: la escasa participación en la encuesta impide un análisis concluyente, por lo que la acción de mejora se reorienta a elevar la tasa de respuesta (AM-ESI-7.2).</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pPr>
        <w:pStyle w:val="AGAETexto"/>
      </w:pPr>
      <w:r>
        <w:rPr>
          <w:color w:val="000000"/>
        </w:rPr>
        <w:t>Los perfiles de egreso del título se revisan en el marco del proceso P03 del SGC, a partir del contacto con las entidades colaboradoras de prácticas, de la información del tejido empresarial del sector y del análisis de los resultados de empleabilidad. La orientación del título hacia el diseño de producto, el ecodiseño, el envase y embalaje, la creación digital y la gestión del ciclo de vida del producto mantiene su interés y su actualización, como acreditan la demanda sostenida del título y la elevada tasa efectiva de inserción en sectores relacionados.</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pPr>
        <w:pStyle w:val="AGAETexto"/>
      </w:pPr>
      <w:r>
        <w:rPr>
          <w:color w:val="000000"/>
        </w:rPr>
        <w:t>A la fecha de elaboración de este autoinforme no se dispone de indicadores de satisfacción de los empleadores con la formación recibida por los egresados: el procedimiento de consulta a empleadores previsto en el proceso P07 del SGC se encuentra en fase de implantación en la Universidad de Cádiz y no existe encuesta institucional con resultados para el título. Se trata de una carencia señalada por ACCUA en las Subsanaciones 2.1 y 7.1 de su informe de 05/07/2023, que no puede considerarse resuelta. Como aproximación, se dispone de la valoración de las entidades colaboradoras de prácticas sobre el desempeño del alumnado (ISGC-P04-13: 4,66 sobre 5 en 2024-25), muy elevada, cuya explotación sistemática desde la plataforma de prácticas es la vía prevista para dar respuesta a la subsanación. La carencia se recoge como punto débil (PD-ESI-7.3) con su acción de mejora (AM-ESI-7.3).</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pPr>
        <w:pStyle w:val="AGAETexto"/>
      </w:pPr>
      <w:r>
        <w:rPr>
          <w:color w:val="000000"/>
        </w:rPr>
        <w:t>ISGC-P07-09: Grado de satisfacción de los egresados con los estudios realizados. El valor de la cohorte 2022-23 es de 3,00 sobre 5, con una serie por año de egreso de 3,00 | 3,50 | 3,20 | 2,88 | 3,00, e inferior a la del centro (3,69).</w:t>
      </w:r>
    </w:p>
    <w:p>
      <w:pPr>
        <w:pStyle w:val="AGAETexto"/>
      </w:pPr>
      <w:r>
        <w:rPr>
          <w:color w:val="000000"/>
        </w:rPr>
        <w:t>ISGC-P07-10: Grado de satisfacción de los egresados con las competencias adquiridas. El valor de la cohorte 2022-23 asciende a 4,00 sobre 5 (2,67 | 3,50 | 3,40 | 2,88 | 4,00), por encima del centro (3,59), lo que resulta coherente con la elevada inserción en sectores relacionados con el título. Ambos indicadores deben interpretarse con las cautelas derivadas de la muy baja tasa de respuesta de la encuesta de egresados (ISGC-P07-01_03: 7,14% en esta cohorte, 2 encuestas de 28 egresados), circunstancia que se recoge como punto débil (PD-ESI-7.2) con una acción de mejora dirigida a incrementar la participación (AM-ESI-7.2) y que enlaza con la Subsanación 2.1 de ACCUA.</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pPr>
        <w:pStyle w:val="AGAETexto"/>
      </w:pPr>
      <w:r>
        <w:rPr>
          <w:color w:val="000000"/>
        </w:rPr>
        <w:t>La sostenibilidad del título se valora integrando las conclusiones de los criterios anteriores. En cuanto a la demanda (Criterio 3), la tasa de ocupación se mantiene por encima del 100% en todos los cursos —cubriendo cada año las 50 plazas previstas en la memoria verificada— y la tasa de preferencia crece hasta el 146%, con una tasa de renovación estable: el título cubre su oferta de plazas y despierta un interés creciente, reforzado por el PCEO con el Grado en Ingeniería Mecánica. Respecto al profesorado (Criterio 4), la plantilla es estable —64 profesores, 70,31% doctores— con un peso creciente del profesorado permanente, una dedicación al título constante en torno a los 430 créditos y una participación en formación, innovación y DOCENTIA superior a la del centro y de la Universidad. En cuanto a los recursos (Criterio 5), el título dispone de aulas, talleres, laboratorios y aulas informáticas adecuadas, con una satisfacción del profesorado superior a la media de la UCA y una oferta de plazas de prácticas que duplica la demanda. En cuanto a los resultados (Criterio 6), las tasas de rendimiento, eficiencia y abandono cumplen o superan los objetivos de la memoria verificada y se mantienen mejores que las del centro, si bien la tasa de graduación y el porcentaje de no presentados en el Proyecto Fin de Grado exigen las acciones de mejora previstas.</w:t>
      </w:r>
    </w:p>
    <w:p>
      <w:pPr>
        <w:pStyle w:val="AGAETexto"/>
      </w:pPr>
      <w:r>
        <w:rPr>
          <w:color w:val="000000"/>
        </w:rPr>
        <w:t>Con estos elementos, la coordinación del título y la Comisión de Garantía de Calidad consideran que el Grado en Ingeniería en Diseño Industrial y Desarrollo del Producto es sostenible: cuenta con demanda suficiente y creciente, con un profesorado cualificado y estable, con recursos adecuados y con unos resultados académicos que, en el conjunto del centro, se sitúan entre los más favorables. Las debilidades detectadas se concentran en procesos concretos —coordinación, TFG, orientación profesional y participación en encuestas— y se abordan mediante el plan de mejora de este autoinforme.</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PF-ESI-7.1.- La satisfacción global del alumnado con el título (ISGC-P07-02: 3,59 sobre 5) se sitúa por encima de la del centro (3,53) y en el entorno de la media de la UCA (3,63), con una tendencia de mejora sostenida desde 2021-22.</w:t>
              <w:br/>
              <w:t>- PF-ESI-7.2.- La tasa efectiva de inserción en un sector relacionado con los estudios (ISGC-P07-06) alcanza el 100% en la cohorte 2022-23, lo que apunta a una buena adecuación del perfil de egreso.</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PD-ESI-7.1.- La satisfacción del alumnado con los programas de orientación profesional (ISGC-P06-02: 2,61 sobre 5) y académica (ISGC-P06-01: 2,76) ha retrocedido y se sitúa por debajo del centro y de la UCA.</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AM-ESI-7.1.- Programar, en coordinación con el centro y con la Dirección General de Empleabilidad, al menos dos actividades anuales de orientación profesional específicas del ámbito del diseño industrial (mesa de empleadores y taller de empleabilidad), y difundirlas a través del Campus Virtual.</w:t>
            </w:r>
          </w:p>
        </w:tc>
      </w:tr>
      <w:tr w:rsidR="00C3162D" w:rsidRPr="00037BD7" w14:paraId="16737BD2" w14:textId="77777777" w:rsidTr="0021618A">
        <w:trPr>
          <w:jc w:val="center"/>
        </w:trPr>
        <w:tc>
          <w:tcPr>
            <w:tcW w:w="2591" w:type="pct"/>
            <w:tcBorders>
              <w:bottom w:val="single" w:sz="4" w:space="0" w:color="auto"/>
            </w:tcBorders>
            <w:shd w:val="clear" w:color="auto" w:fill="auto"/>
            <w:vAlign w:val="center"/>
          </w:tcPr>
          <w:p w14:paraId="38262A5F"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PD-ESI-7.2.- La tasa de respuesta de la encuesta de egresados (ISGC-P07-01_03) es muy baja (7,14% en la cohorte 2022-23: 2 encuestas de 28 egresados), lo que limita la validez de los indicadores de inserción y satisfacción de egresados.</w:t>
            </w:r>
          </w:p>
        </w:tc>
        <w:tc>
          <w:tcPr>
            <w:tcW w:w="2409" w:type="pct"/>
            <w:tcBorders>
              <w:bottom w:val="single" w:sz="4" w:space="0" w:color="auto"/>
            </w:tcBorders>
            <w:shd w:val="clear" w:color="auto" w:fill="auto"/>
            <w:vAlign w:val="center"/>
          </w:tcPr>
          <w:p w14:paraId="2B34514F"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AM-ESI-7.2.- Colaborar con la Unidad de Calidad en la difusión de la encuesta de egresados (recordatorios, contacto en el acto de graduación y canales de la delegación de alumnos) para elevar la tasa de respuesta.</w:t>
            </w:r>
          </w:p>
        </w:tc>
      </w:tr>
      <w:tr>
        <w:tc>
          <w:tcPr>
            <w:tcW w:type="dxa" w:w="4898"/>
          </w:tcPr>
          <w:p>
            <w:r>
              <w:t>Punto débil nº 3: PD-ESI-7.3.- No se dispone de resultados de satisfacción de los empleadores con la formación recibida por los egresados: las Subsanaciones 2.1 y 7.1 del informe de ACCUA siguen sin resolverse.</w:t>
            </w:r>
          </w:p>
        </w:tc>
        <w:tc>
          <w:tcPr>
            <w:tcW w:type="dxa" w:w="4554"/>
          </w:tcPr>
          <w:p>
            <w:r>
              <w:t>Acción de mejora nº 1: AM-ESI-7.3.- Solicitar a la Unidad de Calidad la implantación del procedimiento de consulta a empleadores y, en su defecto, recoger la valoración de las entidades colaboradoras de prácticas mediante el informe del tutor externo.</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PD-ESI-1.1.- Descenso de la satisfacción del alumnado con la información publicada del título (ISGC-P01-01: 3,23).</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AM-ESI-1.1.- Revisión y actualización de la sección web del título y difusión de los cambios en las sesiones de acogida.</w:t>
              <w:br/>
              <w:t>Evidencia: Web del título actualizada; acta de la CGC.</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Media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Coordinación del título</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09/2026</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07/2027</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ISGC-P01-01 ≥ 3,50</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PD-ESI-3.1.- Descenso de la satisfacción del alumnado con la coordinación docente (ISGC-P04-10: 2,81).</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AM-ESI-3.1.- Refuerzo de las reuniones de coordinación horizontal y vertical, con acta y planificación de cargas de trabajo por cuatrimestre.</w:t>
              <w:br/>
              <w:t>Evidencia: Actas de las reuniones de coordinación.</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Coordinación del título</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09/2026</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07/2027</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ISGC-P04-10 ≥ 3,10</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PD-ESI-3.2.- Tasa de adecuación del título del 57,69% (ISGC-P04-16).</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AM-ESI-3.2.- Intensificación de las acciones de difusión y orientación preuniversitaria del perfil de diseño industrial.</w:t>
              <w:br/>
              <w:t>Evidencia: Programa de actividades de difusión del centro.</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Subdirección de Estudiantes del centro</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10/2026</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06/2027</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ISGC-P04-16 ≥ 60%</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PD-ESI-4.1.- Descenso de la satisfacción con el proceso de elección y realización del TFG (ISGC-P04-11: 2,50).</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AM-ESI-4.1.- Revisión del procedimiento de oferta y asignación de TFG y sesión informativa específica al inicio de curso.</w:t>
              <w:br/>
              <w:t>Evidencia: Convocatoria de TFG publicada; material de la sesión informativa.</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Alta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Coordinación del título</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09/2026</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07/2027</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ISGC-P04-11 ≥ 3,00</w:t>
            </w:r>
          </w:p>
        </w:tc>
      </w:tr>
      <w:tr>
        <w:tc>
          <w:tcPr>
            <w:tcW w:type="dxa" w:w="3245"/>
          </w:tcPr>
          <w:p>
            <w:r>
              <w:t>PD-ESI-4.2.- Descenso del porcentaje de calificaciones "EXCELENTES" en DOCENTIA (ISGC-P05-06: 54,55%).</w:t>
            </w:r>
          </w:p>
        </w:tc>
        <w:tc>
          <w:tcPr>
            <w:tcW w:type="dxa" w:w="2546"/>
          </w:tcPr>
          <w:p>
            <w:r>
              <w:t>Acción de mejora: AM-ESI-4.2.- Difusión de las convocatorias de formación y del modelo DOCENTIA entre el profesorado del título.</w:t>
              <w:br/>
              <w:t>Evidencia: Comunicaciones al profesorado; acta de la CGC.</w:t>
            </w:r>
          </w:p>
        </w:tc>
        <w:tc>
          <w:tcPr>
            <w:tcW w:type="dxa" w:w="1739"/>
          </w:tcPr>
          <w:p>
            <w:r>
              <w:t>Baja</w:t>
            </w:r>
          </w:p>
        </w:tc>
        <w:tc>
          <w:tcPr>
            <w:tcW w:type="dxa" w:w="1739"/>
          </w:tcPr>
          <w:p>
            <w:r>
              <w:t>Coordinación del título</w:t>
            </w:r>
          </w:p>
        </w:tc>
        <w:tc>
          <w:tcPr>
            <w:tcW w:type="dxa" w:w="1736"/>
          </w:tcPr>
          <w:p>
            <w:r>
              <w:t>09/2026</w:t>
            </w:r>
          </w:p>
        </w:tc>
        <w:tc>
          <w:tcPr>
            <w:tcW w:type="dxa" w:w="1354"/>
          </w:tcPr>
          <w:p>
            <w:r>
              <w:t>07/2027</w:t>
            </w:r>
          </w:p>
        </w:tc>
        <w:tc>
          <w:tcPr>
            <w:tcW w:type="dxa" w:w="2201"/>
          </w:tcPr>
          <w:p>
            <w:r>
              <w:t>ISGC-P05-06 ≥ 70%</w:t>
            </w:r>
          </w:p>
        </w:tc>
      </w:tr>
      <w:tr>
        <w:tc>
          <w:tcPr>
            <w:tcW w:type="dxa" w:w="3245"/>
          </w:tcPr>
          <w:p>
            <w:r>
              <w:t>PD-ESI-5.1.- Descenso de la satisfacción del alumnado con los recursos e infraestructuras (ISGC-P06-03: 3,46).</w:t>
            </w:r>
          </w:p>
        </w:tc>
        <w:tc>
          <w:tcPr>
            <w:tcW w:type="dxa" w:w="2546"/>
          </w:tcPr>
          <w:p>
            <w:r>
              <w:t>Acción de mejora: AM-ESI-5.1.- Traslado a la Dirección del centro de las necesidades de talleres, aulas de diseño y equipamiento de prototipado.</w:t>
              <w:br/>
              <w:t>Evidencia: Informe de necesidades remitido a la Dirección del centro.</w:t>
            </w:r>
          </w:p>
        </w:tc>
        <w:tc>
          <w:tcPr>
            <w:tcW w:type="dxa" w:w="1739"/>
          </w:tcPr>
          <w:p>
            <w:r>
              <w:t>Media</w:t>
            </w:r>
          </w:p>
        </w:tc>
        <w:tc>
          <w:tcPr>
            <w:tcW w:type="dxa" w:w="1739"/>
          </w:tcPr>
          <w:p>
            <w:r>
              <w:t>Dirección de la Escuela Superior de Ingeniería</w:t>
            </w:r>
          </w:p>
        </w:tc>
        <w:tc>
          <w:tcPr>
            <w:tcW w:type="dxa" w:w="1736"/>
          </w:tcPr>
          <w:p>
            <w:r>
              <w:t>09/2026</w:t>
            </w:r>
          </w:p>
        </w:tc>
        <w:tc>
          <w:tcPr>
            <w:tcW w:type="dxa" w:w="1354"/>
          </w:tcPr>
          <w:p>
            <w:r>
              <w:t>07/2027</w:t>
            </w:r>
          </w:p>
        </w:tc>
        <w:tc>
          <w:tcPr>
            <w:tcW w:type="dxa" w:w="2201"/>
          </w:tcPr>
          <w:p>
            <w:r>
              <w:t>ISGC-P06-03 ≥ 3,60</w:t>
            </w:r>
          </w:p>
        </w:tc>
      </w:tr>
      <w:tr>
        <w:tc>
          <w:tcPr>
            <w:tcW w:type="dxa" w:w="3245"/>
          </w:tcPr>
          <w:p>
            <w:r>
              <w:t>PD-ESI-5.2.- Baja satisfacción del alumnado participante en movilidad (ISGC-P04-15: 2,73).</w:t>
            </w:r>
          </w:p>
        </w:tc>
        <w:tc>
          <w:tcPr>
            <w:tcW w:type="dxa" w:w="2546"/>
          </w:tcPr>
          <w:p>
            <w:r>
              <w:t>Acción de mejora: AM-ESI-5.2.- Revisión con la ORI de los acuerdos y de la información previa a la estancia, y refuerzo de la tutorización del reconocimiento de créditos.</w:t>
              <w:br/>
              <w:t>Evidencia: Acuerdos de movilidad revisados; guía de movilidad del título.</w:t>
            </w:r>
          </w:p>
        </w:tc>
        <w:tc>
          <w:tcPr>
            <w:tcW w:type="dxa" w:w="1739"/>
          </w:tcPr>
          <w:p>
            <w:r>
              <w:t>Media</w:t>
            </w:r>
          </w:p>
        </w:tc>
        <w:tc>
          <w:tcPr>
            <w:tcW w:type="dxa" w:w="1739"/>
          </w:tcPr>
          <w:p>
            <w:r>
              <w:t>Coordinación de movilidad del título</w:t>
            </w:r>
          </w:p>
        </w:tc>
        <w:tc>
          <w:tcPr>
            <w:tcW w:type="dxa" w:w="1736"/>
          </w:tcPr>
          <w:p>
            <w:r>
              <w:t>09/2026</w:t>
            </w:r>
          </w:p>
        </w:tc>
        <w:tc>
          <w:tcPr>
            <w:tcW w:type="dxa" w:w="1354"/>
          </w:tcPr>
          <w:p>
            <w:r>
              <w:t>07/2027</w:t>
            </w:r>
          </w:p>
        </w:tc>
        <w:tc>
          <w:tcPr>
            <w:tcW w:type="dxa" w:w="2201"/>
          </w:tcPr>
          <w:p>
            <w:r>
              <w:t>ISGC-P04-15 ≥ 3,00</w:t>
            </w:r>
          </w:p>
        </w:tc>
      </w:tr>
      <w:tr>
        <w:tc>
          <w:tcPr>
            <w:tcW w:type="dxa" w:w="3245"/>
          </w:tcPr>
          <w:p>
            <w:r>
              <w:t>PD-ESI-6.1.- Baja tasa de graduación (ISGC-P04-05: 14,9%) y elevado porcentaje de no presentados en el TFG (40%).</w:t>
            </w:r>
          </w:p>
        </w:tc>
        <w:tc>
          <w:tcPr>
            <w:tcW w:type="dxa" w:w="2546"/>
          </w:tcPr>
          <w:p>
            <w:r>
              <w:t>Acción de mejora: AM-ESI-6.1.- Seguimiento nominal del alumnado con TFG pendiente: asignación temprana de tutor, control de hitos y recordatorios de convocatoria.</w:t>
              <w:br/>
              <w:t>Evidencia: Registro de seguimiento de TFG; actas de la CGC.</w:t>
            </w:r>
          </w:p>
        </w:tc>
        <w:tc>
          <w:tcPr>
            <w:tcW w:type="dxa" w:w="1739"/>
          </w:tcPr>
          <w:p>
            <w:r>
              <w:t>Alta</w:t>
            </w:r>
          </w:p>
        </w:tc>
        <w:tc>
          <w:tcPr>
            <w:tcW w:type="dxa" w:w="1739"/>
          </w:tcPr>
          <w:p>
            <w:r>
              <w:t>Coordinación del título</w:t>
            </w:r>
          </w:p>
        </w:tc>
        <w:tc>
          <w:tcPr>
            <w:tcW w:type="dxa" w:w="1736"/>
          </w:tcPr>
          <w:p>
            <w:r>
              <w:t>09/2026</w:t>
            </w:r>
          </w:p>
        </w:tc>
        <w:tc>
          <w:tcPr>
            <w:tcW w:type="dxa" w:w="1354"/>
          </w:tcPr>
          <w:p>
            <w:r>
              <w:t>07/2027</w:t>
            </w:r>
          </w:p>
        </w:tc>
        <w:tc>
          <w:tcPr>
            <w:tcW w:type="dxa" w:w="2201"/>
          </w:tcPr>
          <w:p>
            <w:r>
              <w:t>ISGC-P04-05 ≥ 20%</w:t>
            </w:r>
          </w:p>
        </w:tc>
      </w:tr>
      <w:tr>
        <w:tc>
          <w:tcPr>
            <w:tcW w:type="dxa" w:w="3245"/>
          </w:tcPr>
          <w:p>
            <w:r>
              <w:t>PD-ESI-6.2.- Concentración de suspensos y no presentados en asignaturas de formación básica y común.</w:t>
            </w:r>
          </w:p>
        </w:tc>
        <w:tc>
          <w:tcPr>
            <w:tcW w:type="dxa" w:w="2546"/>
          </w:tcPr>
          <w:p>
            <w:r>
              <w:t>Acción de mejora: AM-ESI-6.2.- Análisis en la CGC con los coordinadores de las asignaturas afectadas y refuerzo del apoyo al alumnado de primer curso.</w:t>
              <w:br/>
              <w:t>Evidencia: Acta de la CGC con el análisis de calificaciones por asignatura.</w:t>
            </w:r>
          </w:p>
        </w:tc>
        <w:tc>
          <w:tcPr>
            <w:tcW w:type="dxa" w:w="1739"/>
          </w:tcPr>
          <w:p>
            <w:r>
              <w:t>Alta</w:t>
            </w:r>
          </w:p>
        </w:tc>
        <w:tc>
          <w:tcPr>
            <w:tcW w:type="dxa" w:w="1739"/>
          </w:tcPr>
          <w:p>
            <w:r>
              <w:t>Coordinación del título</w:t>
            </w:r>
          </w:p>
        </w:tc>
        <w:tc>
          <w:tcPr>
            <w:tcW w:type="dxa" w:w="1736"/>
          </w:tcPr>
          <w:p>
            <w:r>
              <w:t>09/2026</w:t>
            </w:r>
          </w:p>
        </w:tc>
        <w:tc>
          <w:tcPr>
            <w:tcW w:type="dxa" w:w="1354"/>
          </w:tcPr>
          <w:p>
            <w:r>
              <w:t>07/2027</w:t>
            </w:r>
          </w:p>
        </w:tc>
        <w:tc>
          <w:tcPr>
            <w:tcW w:type="dxa" w:w="2201"/>
          </w:tcPr>
          <w:p>
            <w:r>
              <w:t>ISGC-P04-01 ≥ 65%</w:t>
            </w:r>
          </w:p>
        </w:tc>
      </w:tr>
      <w:tr>
        <w:tc>
          <w:tcPr>
            <w:tcW w:type="dxa" w:w="3245"/>
          </w:tcPr>
          <w:p>
            <w:r>
              <w:t>PD-ESI-7.1.- Baja satisfacción con los programas de orientación académica y profesional (ISGC-P06-01: 2,76; ISGC-P06-02: 2,61).</w:t>
            </w:r>
          </w:p>
        </w:tc>
        <w:tc>
          <w:tcPr>
            <w:tcW w:type="dxa" w:w="2546"/>
          </w:tcPr>
          <w:p>
            <w:r>
              <w:t>Acción de mejora: AM-ESI-7.1.- Programación de al menos dos actividades anuales de orientación profesional específicas del ámbito del diseño industrial.</w:t>
              <w:br/>
              <w:t>Evidencia: Programa de actividades; registro de asistentes.</w:t>
            </w:r>
          </w:p>
        </w:tc>
        <w:tc>
          <w:tcPr>
            <w:tcW w:type="dxa" w:w="1739"/>
          </w:tcPr>
          <w:p>
            <w:r>
              <w:t>Media</w:t>
            </w:r>
          </w:p>
        </w:tc>
        <w:tc>
          <w:tcPr>
            <w:tcW w:type="dxa" w:w="1739"/>
          </w:tcPr>
          <w:p>
            <w:r>
              <w:t>Coordinación del título</w:t>
            </w:r>
          </w:p>
        </w:tc>
        <w:tc>
          <w:tcPr>
            <w:tcW w:type="dxa" w:w="1736"/>
          </w:tcPr>
          <w:p>
            <w:r>
              <w:t>10/2026</w:t>
            </w:r>
          </w:p>
        </w:tc>
        <w:tc>
          <w:tcPr>
            <w:tcW w:type="dxa" w:w="1354"/>
          </w:tcPr>
          <w:p>
            <w:r>
              <w:t>06/2027</w:t>
            </w:r>
          </w:p>
        </w:tc>
        <w:tc>
          <w:tcPr>
            <w:tcW w:type="dxa" w:w="2201"/>
          </w:tcPr>
          <w:p>
            <w:r>
              <w:t>ISGC-P06-02 ≥ 2,90</w:t>
            </w:r>
          </w:p>
        </w:tc>
      </w:tr>
      <w:tr>
        <w:tc>
          <w:tcPr>
            <w:tcW w:type="dxa" w:w="3245"/>
          </w:tcPr>
          <w:p>
            <w:r>
              <w:t>PD-ESI-7.2.- Baja tasa de respuesta de la encuesta de egresados (ISGC-P07-01_03: 7,14% en la cohorte 2022-23).</w:t>
            </w:r>
          </w:p>
        </w:tc>
        <w:tc>
          <w:tcPr>
            <w:tcW w:type="dxa" w:w="2546"/>
          </w:tcPr>
          <w:p>
            <w:r>
              <w:t>Acción de mejora: AM-ESI-7.2.- Difusión de la encuesta de egresados en colaboración con la Unidad de Calidad y la delegación de alumnos.</w:t>
              <w:br/>
              <w:t>Evidencia: Comunicaciones de difusión; informe de participación.</w:t>
            </w:r>
          </w:p>
        </w:tc>
        <w:tc>
          <w:tcPr>
            <w:tcW w:type="dxa" w:w="1739"/>
          </w:tcPr>
          <w:p>
            <w:r>
              <w:t>Media</w:t>
            </w:r>
          </w:p>
        </w:tc>
        <w:tc>
          <w:tcPr>
            <w:tcW w:type="dxa" w:w="1739"/>
          </w:tcPr>
          <w:p>
            <w:r>
              <w:t>Coordinación del título</w:t>
            </w:r>
          </w:p>
        </w:tc>
        <w:tc>
          <w:tcPr>
            <w:tcW w:type="dxa" w:w="1736"/>
          </w:tcPr>
          <w:p>
            <w:r>
              <w:t>09/2026</w:t>
            </w:r>
          </w:p>
        </w:tc>
        <w:tc>
          <w:tcPr>
            <w:tcW w:type="dxa" w:w="1354"/>
          </w:tcPr>
          <w:p>
            <w:r>
              <w:t>07/2027</w:t>
            </w:r>
          </w:p>
        </w:tc>
        <w:tc>
          <w:tcPr>
            <w:tcW w:type="dxa" w:w="2201"/>
          </w:tcPr>
          <w:p>
            <w:r>
              <w:t>ISGC-P07-01_03 ≥ 20%</w:t>
            </w:r>
          </w:p>
        </w:tc>
      </w:tr>
      <w:tr>
        <w:tc>
          <w:tcPr>
            <w:tcW w:type="dxa" w:w="3245"/>
          </w:tcPr>
          <w:p>
            <w:r>
              <w:t>PD-ESI-7.3.- Ausencia de resultados de satisfacción de empleadores.</w:t>
            </w:r>
          </w:p>
        </w:tc>
        <w:tc>
          <w:tcPr>
            <w:tcW w:type="dxa" w:w="2546"/>
          </w:tcPr>
          <w:p>
            <w:r>
              <w:t>Acción de mejora: AM-ESI-7.3.- Solicitud a la Unidad de Calidad de la implantación del procedimiento de consulta a empleadores y recogida de la valoración de las entidades colaboradoras de prácticas.</w:t>
              <w:br/>
              <w:t>Evidencia: Solicitud remitida; informes de tutores externos.</w:t>
            </w:r>
          </w:p>
        </w:tc>
        <w:tc>
          <w:tcPr>
            <w:tcW w:type="dxa" w:w="1739"/>
          </w:tcPr>
          <w:p>
            <w:r>
              <w:t>Media</w:t>
            </w:r>
          </w:p>
        </w:tc>
        <w:tc>
          <w:tcPr>
            <w:tcW w:type="dxa" w:w="1739"/>
          </w:tcPr>
          <w:p>
            <w:r>
              <w:t>Coordinación del título</w:t>
            </w:r>
          </w:p>
        </w:tc>
        <w:tc>
          <w:tcPr>
            <w:tcW w:type="dxa" w:w="1736"/>
          </w:tcPr>
          <w:p>
            <w:r>
              <w:t>09/2026</w:t>
            </w:r>
          </w:p>
        </w:tc>
        <w:tc>
          <w:tcPr>
            <w:tcW w:type="dxa" w:w="1354"/>
          </w:tcPr>
          <w:p>
            <w:r>
              <w:t>07/2027</w:t>
            </w:r>
          </w:p>
        </w:tc>
        <w:tc>
          <w:tcPr>
            <w:tcW w:type="dxa" w:w="2201"/>
          </w:tcPr>
          <w:p>
            <w:r>
              <w:t>Procedimiento implantado</w:t>
            </w:r>
          </w:p>
        </w:tc>
      </w:tr>
      <w:tr>
        <w:tc>
          <w:tcPr>
            <w:tcW w:type="dxa" w:w="3245"/>
          </w:tcPr>
          <w:p>
            <w:r>
              <w:t>Subsanación 1.2 (ACCUA, 05/07/2023).- Mecanismos de accesibilidad de la web para personas con diversidad funcional. Parcialmente resuelta.</w:t>
            </w:r>
          </w:p>
        </w:tc>
        <w:tc>
          <w:tcPr>
            <w:tcW w:type="dxa" w:w="2546"/>
          </w:tcPr>
          <w:p>
            <w:r>
              <w:t>Acción de mejora: Solicitar al Área de Informática y al gestor de la web institucional una revisión de accesibilidad de la web del título y aplicar las correcciones que se identifiquen.</w:t>
              <w:br/>
              <w:t>Evidencia: Informe de revisión de accesibilidad; web del título.</w:t>
            </w:r>
          </w:p>
        </w:tc>
        <w:tc>
          <w:tcPr>
            <w:tcW w:type="dxa" w:w="1739"/>
          </w:tcPr>
          <w:p>
            <w:r>
              <w:t>Media</w:t>
            </w:r>
          </w:p>
        </w:tc>
        <w:tc>
          <w:tcPr>
            <w:tcW w:type="dxa" w:w="1739"/>
          </w:tcPr>
          <w:p>
            <w:r>
              <w:t>Dirección de la Escuela Superior de Ingeniería</w:t>
            </w:r>
          </w:p>
        </w:tc>
        <w:tc>
          <w:tcPr>
            <w:tcW w:type="dxa" w:w="1736"/>
          </w:tcPr>
          <w:p>
            <w:r>
              <w:t>09/2026</w:t>
            </w:r>
          </w:p>
        </w:tc>
        <w:tc>
          <w:tcPr>
            <w:tcW w:type="dxa" w:w="1354"/>
          </w:tcPr>
          <w:p>
            <w:r>
              <w:t>07/2027</w:t>
            </w:r>
          </w:p>
        </w:tc>
        <w:tc>
          <w:tcPr>
            <w:tcW w:type="dxa" w:w="2201"/>
          </w:tcPr>
          <w:p>
            <w:r>
              <w:t>Revisión de accesibilidad realizada</w:t>
            </w:r>
          </w:p>
        </w:tc>
      </w:tr>
      <w:tr>
        <w:tc>
          <w:tcPr>
            <w:tcW w:type="dxa" w:w="3245"/>
          </w:tcPr>
          <w:p>
            <w:r>
              <w:t>Subsanación 2.1 y Subsanación 7.1 (ACCUA, 05/07/2023).- Procedimientos sistemáticos de recogida de opinión de empleadores y egresados. No resueltas.</w:t>
            </w:r>
          </w:p>
        </w:tc>
        <w:tc>
          <w:tcPr>
            <w:tcW w:type="dxa" w:w="2546"/>
          </w:tcPr>
          <w:p>
            <w:r>
              <w:t>Acción de mejora: Solicitar a la Unidad de Calidad la implantación del procedimiento institucional de consulta a empleadores y explotar de forma sistemática los informes de los tutores de las entidades colaboradoras de prácticas.</w:t>
              <w:br/>
              <w:t>Evidencia: Solicitud remitida; informes de tutores externos.</w:t>
            </w:r>
          </w:p>
        </w:tc>
        <w:tc>
          <w:tcPr>
            <w:tcW w:type="dxa" w:w="1739"/>
          </w:tcPr>
          <w:p>
            <w:r>
              <w:t>Alta</w:t>
            </w:r>
          </w:p>
        </w:tc>
        <w:tc>
          <w:tcPr>
            <w:tcW w:type="dxa" w:w="1739"/>
          </w:tcPr>
          <w:p>
            <w:r>
              <w:t>Coordinación del título</w:t>
            </w:r>
          </w:p>
        </w:tc>
        <w:tc>
          <w:tcPr>
            <w:tcW w:type="dxa" w:w="1736"/>
          </w:tcPr>
          <w:p>
            <w:r>
              <w:t>09/2026</w:t>
            </w:r>
          </w:p>
        </w:tc>
        <w:tc>
          <w:tcPr>
            <w:tcW w:type="dxa" w:w="1354"/>
          </w:tcPr>
          <w:p>
            <w:r>
              <w:t>07/2027</w:t>
            </w:r>
          </w:p>
        </w:tc>
        <w:tc>
          <w:tcPr>
            <w:tcW w:type="dxa" w:w="2201"/>
          </w:tcPr>
          <w:p>
            <w:r>
              <w:t>Procedimiento implantado / nº de informes explotados</w:t>
            </w:r>
          </w:p>
        </w:tc>
      </w:tr>
      <w:tr>
        <w:tc>
          <w:tcPr>
            <w:tcW w:type="dxa" w:w="3245"/>
          </w:tcPr>
          <w:p>
            <w:r>
              <w:t>Subsanación 3.1 (ACCUA, 05/07/2023).- Procedimientos formales de coordinación del título con actas y acuerdos. Parcialmente resuelta.</w:t>
            </w:r>
          </w:p>
        </w:tc>
        <w:tc>
          <w:tcPr>
            <w:tcW w:type="dxa" w:w="2546"/>
          </w:tcPr>
          <w:p>
            <w:r>
              <w:t>Acción de mejora: Consolidar el curso de coordinación del Campus Virtual como registro formal y publicar las actas de las reuniones de coordinación por curso.</w:t>
              <w:br/>
              <w:t>Evidencia: Actas publicadas; curso del Campus Virtual.</w:t>
            </w:r>
          </w:p>
        </w:tc>
        <w:tc>
          <w:tcPr>
            <w:tcW w:type="dxa" w:w="1739"/>
          </w:tcPr>
          <w:p>
            <w:r>
              <w:t>Alta</w:t>
            </w:r>
          </w:p>
        </w:tc>
        <w:tc>
          <w:tcPr>
            <w:tcW w:type="dxa" w:w="1739"/>
          </w:tcPr>
          <w:p>
            <w:r>
              <w:t>Coordinación del título</w:t>
            </w:r>
          </w:p>
        </w:tc>
        <w:tc>
          <w:tcPr>
            <w:tcW w:type="dxa" w:w="1736"/>
          </w:tcPr>
          <w:p>
            <w:r>
              <w:t>09/2026</w:t>
            </w:r>
          </w:p>
        </w:tc>
        <w:tc>
          <w:tcPr>
            <w:tcW w:type="dxa" w:w="1354"/>
          </w:tcPr>
          <w:p>
            <w:r>
              <w:t>07/2027</w:t>
            </w:r>
          </w:p>
        </w:tc>
        <w:tc>
          <w:tcPr>
            <w:tcW w:type="dxa" w:w="2201"/>
          </w:tcPr>
          <w:p>
            <w:r>
              <w:t>Nº de actas publicadas por curso</w:t>
            </w:r>
          </w:p>
        </w:tc>
      </w:tr>
      <w:tr>
        <w:tc>
          <w:tcPr>
            <w:tcW w:type="dxa" w:w="3245"/>
          </w:tcPr>
          <w:p>
            <w:r>
              <w:t>Recomendación 3.1 y Subsanación 5.1 (ACCUA, 05/07/2023).- Satisfacción del estudiantado con la movilidad. No resuelta en su parte de satisfacción.</w:t>
            </w:r>
          </w:p>
        </w:tc>
        <w:tc>
          <w:tcPr>
            <w:tcW w:type="dxa" w:w="2546"/>
          </w:tcPr>
          <w:p>
            <w:r>
              <w:t>Acción de mejora: Ampliar la oferta de convenios y reforzar la información previa a la estancia y la tutorización del reconocimiento de créditos junto a la ORI.</w:t>
              <w:br/>
              <w:t>Evidencia: Relación de convenios; guía de movilidad del título.</w:t>
            </w:r>
          </w:p>
        </w:tc>
        <w:tc>
          <w:tcPr>
            <w:tcW w:type="dxa" w:w="1739"/>
          </w:tcPr>
          <w:p>
            <w:r>
              <w:t>Media</w:t>
            </w:r>
          </w:p>
        </w:tc>
        <w:tc>
          <w:tcPr>
            <w:tcW w:type="dxa" w:w="1739"/>
          </w:tcPr>
          <w:p>
            <w:r>
              <w:t>Coordinación de movilidad del título</w:t>
            </w:r>
          </w:p>
        </w:tc>
        <w:tc>
          <w:tcPr>
            <w:tcW w:type="dxa" w:w="1736"/>
          </w:tcPr>
          <w:p>
            <w:r>
              <w:t>09/2026</w:t>
            </w:r>
          </w:p>
        </w:tc>
        <w:tc>
          <w:tcPr>
            <w:tcW w:type="dxa" w:w="1354"/>
          </w:tcPr>
          <w:p>
            <w:r>
              <w:t>07/2027</w:t>
            </w:r>
          </w:p>
        </w:tc>
        <w:tc>
          <w:tcPr>
            <w:tcW w:type="dxa" w:w="2201"/>
          </w:tcPr>
          <w:p>
            <w:r>
              <w:t>ISGC-P04-15 ≥ 3,00</w:t>
            </w:r>
          </w:p>
        </w:tc>
      </w:tr>
      <w:tr>
        <w:tc>
          <w:tcPr>
            <w:tcW w:type="dxa" w:w="3245"/>
          </w:tcPr>
          <w:p>
            <w:r>
              <w:t>Subsanación 6.1 y Recomendación 6.1 (ACCUA, 05/07/2023).- Mejora de la tasa de graduación, del rendimiento del TFG y reducción de la duración media. No resueltas.</w:t>
            </w:r>
          </w:p>
        </w:tc>
        <w:tc>
          <w:tcPr>
            <w:tcW w:type="dxa" w:w="2546"/>
          </w:tcPr>
          <w:p>
            <w:r>
              <w:t>Acción de mejora: Seguimiento nominal del alumnado con TFG pendiente, asignación temprana de tutor, control de hitos y sesiones formativas específicas sobre el Proyecto Fin de Grado.</w:t>
              <w:br/>
              <w:t>Evidencia: Registro de seguimiento de TFG; material de las sesiones formativas.</w:t>
            </w:r>
          </w:p>
        </w:tc>
        <w:tc>
          <w:tcPr>
            <w:tcW w:type="dxa" w:w="1739"/>
          </w:tcPr>
          <w:p>
            <w:r>
              <w:t>Alta</w:t>
            </w:r>
          </w:p>
        </w:tc>
        <w:tc>
          <w:tcPr>
            <w:tcW w:type="dxa" w:w="1739"/>
          </w:tcPr>
          <w:p>
            <w:r>
              <w:t>Coordinación del título</w:t>
            </w:r>
          </w:p>
        </w:tc>
        <w:tc>
          <w:tcPr>
            <w:tcW w:type="dxa" w:w="1736"/>
          </w:tcPr>
          <w:p>
            <w:r>
              <w:t>09/2026</w:t>
            </w:r>
          </w:p>
        </w:tc>
        <w:tc>
          <w:tcPr>
            <w:tcW w:type="dxa" w:w="1354"/>
          </w:tcPr>
          <w:p>
            <w:r>
              <w:t>07/2027</w:t>
            </w:r>
          </w:p>
        </w:tc>
        <w:tc>
          <w:tcPr>
            <w:tcW w:type="dxa" w:w="2201"/>
          </w:tcPr>
          <w:p>
            <w:r>
              <w:t>ISGC-P04-05 ≥ 20% y reducción del % de no presentados en el TFG</w:t>
            </w:r>
          </w:p>
        </w:tc>
      </w:tr>
      <w:tr>
        <w:tc>
          <w:tcPr>
            <w:tcW w:type="dxa" w:w="3245"/>
          </w:tcPr>
          <w:p>
            <w:r>
              <w:t>Subsanación 7.2 (ACCUA, 05/07/2023).- Satisfacción del alumnado con los programas de orientación académica y profesional. No resuelta.</w:t>
            </w:r>
          </w:p>
        </w:tc>
        <w:tc>
          <w:tcPr>
            <w:tcW w:type="dxa" w:w="2546"/>
          </w:tcPr>
          <w:p>
            <w:r>
              <w:t>Acción de mejora: Mantener el Plan de Acción Tutorial vinculado al PROA y programar y difundir al menos dos actividades anuales de orientación profesional del ámbito del diseño industrial.</w:t>
              <w:br/>
              <w:t>Evidencia: Programa de actividades; registro de asistentes; PAT.</w:t>
            </w:r>
          </w:p>
        </w:tc>
        <w:tc>
          <w:tcPr>
            <w:tcW w:type="dxa" w:w="1739"/>
          </w:tcPr>
          <w:p>
            <w:r>
              <w:t>Alta</w:t>
            </w:r>
          </w:p>
        </w:tc>
        <w:tc>
          <w:tcPr>
            <w:tcW w:type="dxa" w:w="1739"/>
          </w:tcPr>
          <w:p>
            <w:r>
              <w:t>Coordinación del título</w:t>
            </w:r>
          </w:p>
        </w:tc>
        <w:tc>
          <w:tcPr>
            <w:tcW w:type="dxa" w:w="1736"/>
          </w:tcPr>
          <w:p>
            <w:r>
              <w:t>09/2026</w:t>
            </w:r>
          </w:p>
        </w:tc>
        <w:tc>
          <w:tcPr>
            <w:tcW w:type="dxa" w:w="1354"/>
          </w:tcPr>
          <w:p>
            <w:r>
              <w:t>07/2027</w:t>
            </w:r>
          </w:p>
        </w:tc>
        <w:tc>
          <w:tcPr>
            <w:tcW w:type="dxa" w:w="2201"/>
          </w:tcPr>
          <w:p>
            <w:r>
              <w:t>ISGC-P06-01 ≥ 3,00 y ISGC-P06-02 ≥ 2,90</w:t>
            </w:r>
          </w:p>
        </w:tc>
      </w:tr>
      <w:tr>
        <w:tc>
          <w:tcPr>
            <w:tcW w:type="dxa" w:w="3245"/>
          </w:tcPr>
          <w:p>
            <w:r>
              <w:t>PD-ESI-1.1 y PD-ESI-2.1 (autoinforme 23/24).- Desarrollo del SGC propio del centro y de un cuadro de mandos que permita valorar la consecución de los objetivos de calidad. No resuelto.</w:t>
            </w:r>
          </w:p>
        </w:tc>
        <w:tc>
          <w:tcPr>
            <w:tcW w:type="dxa" w:w="2546"/>
          </w:tcPr>
          <w:p>
            <w:r>
              <w:t>Acción de mejora: Continuar el desarrollo del SGC del centro en el marco del programa IMPLANTA de acreditación institucional y avanzar en el cuadro de mandos de indicadores del centro.</w:t>
              <w:br/>
              <w:t>Evidencia: Documentación del SGC del centro; actas de la CGC.</w:t>
            </w:r>
          </w:p>
        </w:tc>
        <w:tc>
          <w:tcPr>
            <w:tcW w:type="dxa" w:w="1739"/>
          </w:tcPr>
          <w:p>
            <w:r>
              <w:t>Media</w:t>
            </w:r>
          </w:p>
        </w:tc>
        <w:tc>
          <w:tcPr>
            <w:tcW w:type="dxa" w:w="1739"/>
          </w:tcPr>
          <w:p>
            <w:r>
              <w:t>Dirección de la Escuela Superior de Ingeniería</w:t>
            </w:r>
          </w:p>
        </w:tc>
        <w:tc>
          <w:tcPr>
            <w:tcW w:type="dxa" w:w="1736"/>
          </w:tcPr>
          <w:p>
            <w:r>
              <w:t>09/2026</w:t>
            </w:r>
          </w:p>
        </w:tc>
        <w:tc>
          <w:tcPr>
            <w:tcW w:type="dxa" w:w="1354"/>
          </w:tcPr>
          <w:p>
            <w:r>
              <w:t>07/2027</w:t>
            </w:r>
          </w:p>
        </w:tc>
        <w:tc>
          <w:tcPr>
            <w:tcW w:type="dxa" w:w="2201"/>
          </w:tcPr>
          <w:p>
            <w:r>
              <w:t>Grado de avance del SGC del centro</w:t>
            </w:r>
          </w:p>
        </w:tc>
      </w:tr>
      <w:tr>
        <w:tc>
          <w:tcPr>
            <w:tcW w:type="dxa" w:w="3245"/>
          </w:tcPr>
          <w:p>
            <w:r>
              <w:t>PD-ESI-1.2 (autoinforme 23/24).- Baja participación de los grupos de interés en las encuestas de satisfacción. Parcialmente resuelto.</w:t>
            </w:r>
          </w:p>
        </w:tc>
        <w:tc>
          <w:tcPr>
            <w:tcW w:type="dxa" w:w="2546"/>
          </w:tcPr>
          <w:p>
            <w:r>
              <w:t>Acción de mejora: Difundir las encuestas de satisfacción en las sesiones de clase y a través de la delegación de alumnado, y hacer seguimiento de las tasas de respuesta en la CGC.</w:t>
              <w:br/>
              <w:t>Evidencia: Comunicaciones de difusión; informe de participación.</w:t>
            </w:r>
          </w:p>
        </w:tc>
        <w:tc>
          <w:tcPr>
            <w:tcW w:type="dxa" w:w="1739"/>
          </w:tcPr>
          <w:p>
            <w:r>
              <w:t>Media</w:t>
            </w:r>
          </w:p>
        </w:tc>
        <w:tc>
          <w:tcPr>
            <w:tcW w:type="dxa" w:w="1739"/>
          </w:tcPr>
          <w:p>
            <w:r>
              <w:t>Coordinación del título</w:t>
            </w:r>
          </w:p>
        </w:tc>
        <w:tc>
          <w:tcPr>
            <w:tcW w:type="dxa" w:w="1736"/>
          </w:tcPr>
          <w:p>
            <w:r>
              <w:t>09/2026</w:t>
            </w:r>
          </w:p>
        </w:tc>
        <w:tc>
          <w:tcPr>
            <w:tcW w:type="dxa" w:w="1354"/>
          </w:tcPr>
          <w:p>
            <w:r>
              <w:t>07/2027</w:t>
            </w:r>
          </w:p>
        </w:tc>
        <w:tc>
          <w:tcPr>
            <w:tcW w:type="dxa" w:w="2201"/>
          </w:tcPr>
          <w:p>
            <w:r>
              <w:t>ISGC-P07-01_01 ≥ 25% y ISGC-P07-01_03 ≥ 20%</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3,23</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4,44</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3,94</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3,64</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4,22</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4,29</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65,6%</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63,7%</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62,3%</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79,6%</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76,3%</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77,8%</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77,9%</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75,5%</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84,1%</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84,3%</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81,8%</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82,5%</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14,8%</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17,0%</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14,9%</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76,9%</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75,8%</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73,9%</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75,4%</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74,3%</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6,7</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0,91</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1,40</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1,45</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2,14</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0,70%</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0,96%</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1,63%</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0,71%</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0,96%</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0,33%</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1,79%</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2,80%</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5,52%</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0,65%</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2,82</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2,77</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3,29</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2,30</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2,36</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3,36</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4,43</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4,50</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4,50</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4,79</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4,66</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3,36</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1,80</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3,00</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2,80</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56,5%</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58,9%</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60,5%</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74,4%</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71,8%</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81,8%</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77,3%</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79,7%</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82,5%</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26,8%</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33,0%</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17,8%</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14,0%</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73,7%</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71,6%</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72,1%</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5,97</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5,80</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0,87</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0,88%</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0,52%</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0,54%</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0,50%</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1,58%</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1,60%</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2,64</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2,80</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3,10</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2,76</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4,10</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1,41</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1,91</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2,32</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2,84</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3,20</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42,31%</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36,51%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24,19%</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45,16%</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43,75%</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57,69%</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36,51%</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40,32%</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33,87%</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43,75%</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30,77%</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28,57%</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28,57%</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17,46%</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34,38%</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68,75%</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90,91%</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54,55%</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31,25%</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22,22%</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22,22%</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45,45%</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47,47%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42,37%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33,09%</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47,08%</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33,33%</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52,53%</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45,42%</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42,75%</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30,74%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39,22%</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4,1</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25,29%</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24,43%</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24,43%</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14,40%</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22,35%</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76,92%</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85,94%</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85,94%</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89,19%</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52,63%</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23,08%</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14,06%</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14,06%</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8,11%</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47,37%</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58,49%</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61,54%</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55,56%</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49,09%</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57,69%</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106,0%</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104,0%</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108,0%</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110,0%</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104,0%</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148,0%</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126,0%</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124,0%</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122,0%</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146,0%</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18,75%</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18,77%</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19,75%</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17,42%</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2,80</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2,76</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2,43</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2,26</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2,52</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3,56</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3,93</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4,30</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4,30</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61,68%</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57,98%</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54,34%</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98,96%</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103,33%</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107,08%</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133,96%</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151,46%</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154,79%</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173,54%</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21,32%</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22,36%</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29,76%</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20,59%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2,83</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2,96</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2,59</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3,60</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4,32</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4,27</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4,28</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36,07%</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14,88%</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25,26%</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22,58%</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23,87%</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27,94%</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25,00%</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35,29%</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25,71%</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3,47</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3,58</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4,11</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4,25</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3,96</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25,49%</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20,67%</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26,19%</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20,21%</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25,13%</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18,98%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17,31%</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17,49%</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15,41%</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3,92</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2018-19</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9,68%</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8,70%</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13,51%</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18,60%</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7,14%</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100,00</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62,50</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100,00</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100,00</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3,00</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3,20</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3,00</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2,67</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2018-19</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12,00%</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15,72%</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18,03%</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12,90%</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84,00</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79,25</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12,50</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87,50</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90,48</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85,71</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87,10</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62,50</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73,81</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57,14</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58,06</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n.d.</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0,80%</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1,32%</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1,20%</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0,86%</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0,54%</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0,60%</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0,29%</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0,32%</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0,58%</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0,65%</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0,40%</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0,07%</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r>
        <w:rPr>
          <w:color w:val="000000"/>
        </w:rPr>
        <w:t>Los datos de créditos de prácticas académicas externas, número de plazas ofertadas y cubiertas, relación de convenios y personal que tutoriza las prácticas son datos internos del centro y quedan PENDIENTES de aportación. El indicador ISGC-P04-08 (2,14 plazas ofertadas por solicitante en 2024-25) se recoge en el Anexo I.</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Matrículas de honor</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Física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42 %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4B0EE79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0B70A7A"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Fundamentos de Informática</w:t>
            </w:r>
          </w:p>
        </w:tc>
        <w:tc>
          <w:tcPr>
            <w:tcW w:w="727" w:type="pct"/>
            <w:tcBorders>
              <w:top w:val="single" w:sz="4" w:space="0" w:color="auto"/>
              <w:left w:val="single" w:sz="4" w:space="0" w:color="auto"/>
              <w:bottom w:val="single" w:sz="4" w:space="0" w:color="auto"/>
              <w:right w:val="single" w:sz="4" w:space="0" w:color="auto"/>
            </w:tcBorders>
          </w:tcPr>
          <w:p w14:paraId="3919D6A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26 %</w:t>
            </w:r>
          </w:p>
        </w:tc>
        <w:tc>
          <w:tcPr>
            <w:tcW w:w="847" w:type="pct"/>
            <w:tcBorders>
              <w:top w:val="single" w:sz="4" w:space="0" w:color="auto"/>
              <w:left w:val="single" w:sz="4" w:space="0" w:color="auto"/>
              <w:bottom w:val="single" w:sz="4" w:space="0" w:color="auto"/>
              <w:right w:val="single" w:sz="4" w:space="0" w:color="auto"/>
            </w:tcBorders>
          </w:tcPr>
          <w:p w14:paraId="2F4D2AC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21 %</w:t>
            </w:r>
          </w:p>
        </w:tc>
        <w:tc>
          <w:tcPr>
            <w:tcW w:w="720" w:type="pct"/>
            <w:tcBorders>
              <w:top w:val="single" w:sz="4" w:space="0" w:color="auto"/>
              <w:left w:val="single" w:sz="4" w:space="0" w:color="auto"/>
              <w:bottom w:val="single" w:sz="4" w:space="0" w:color="auto"/>
              <w:right w:val="single" w:sz="4" w:space="0" w:color="auto"/>
            </w:tcBorders>
          </w:tcPr>
          <w:p w14:paraId="3E6EC0CD"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c>
          <w:tcPr>
            <w:tcW w:w="894" w:type="pct"/>
            <w:tcBorders>
              <w:top w:val="single" w:sz="4" w:space="0" w:color="auto"/>
              <w:left w:val="single" w:sz="4" w:space="0" w:color="auto"/>
              <w:bottom w:val="single" w:sz="4" w:space="0" w:color="auto"/>
              <w:right w:val="single" w:sz="4" w:space="0" w:color="auto"/>
            </w:tcBorders>
          </w:tcPr>
          <w:p w14:paraId="39E74E44"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1050" w:type="pct"/>
            <w:tcBorders>
              <w:top w:val="single" w:sz="4" w:space="0" w:color="auto"/>
              <w:left w:val="single" w:sz="4" w:space="0" w:color="auto"/>
              <w:bottom w:val="single" w:sz="4" w:space="0" w:color="auto"/>
              <w:right w:val="single" w:sz="4" w:space="0" w:color="auto"/>
            </w:tcBorders>
          </w:tcPr>
          <w:p w14:paraId="79B25FB7"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1 %</w:t>
            </w:r>
          </w:p>
        </w:tc>
      </w:tr>
      <w:tr w:rsidR="00533559" w:rsidRPr="00EA51D0" w14:paraId="4D18A438"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15D76C4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Taller de Diseño</w:t>
            </w:r>
          </w:p>
        </w:tc>
        <w:tc>
          <w:tcPr>
            <w:tcW w:w="727" w:type="pct"/>
            <w:tcBorders>
              <w:top w:val="single" w:sz="4" w:space="0" w:color="auto"/>
              <w:left w:val="single" w:sz="4" w:space="0" w:color="auto"/>
              <w:bottom w:val="single" w:sz="4" w:space="0" w:color="auto"/>
              <w:right w:val="single" w:sz="4" w:space="0" w:color="auto"/>
            </w:tcBorders>
          </w:tcPr>
          <w:p w14:paraId="046223F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440A3603"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56C6D9E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43 %</w:t>
            </w:r>
          </w:p>
        </w:tc>
        <w:tc>
          <w:tcPr>
            <w:tcW w:w="894" w:type="pct"/>
            <w:tcBorders>
              <w:top w:val="single" w:sz="4" w:space="0" w:color="auto"/>
              <w:left w:val="single" w:sz="4" w:space="0" w:color="auto"/>
              <w:bottom w:val="single" w:sz="4" w:space="0" w:color="auto"/>
              <w:right w:val="single" w:sz="4" w:space="0" w:color="auto"/>
            </w:tcBorders>
          </w:tcPr>
          <w:p w14:paraId="25A2FB7E"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50 %</w:t>
            </w:r>
          </w:p>
        </w:tc>
        <w:tc>
          <w:tcPr>
            <w:tcW w:w="1050" w:type="pct"/>
            <w:tcBorders>
              <w:top w:val="single" w:sz="4" w:space="0" w:color="auto"/>
              <w:left w:val="single" w:sz="4" w:space="0" w:color="auto"/>
              <w:bottom w:val="single" w:sz="4" w:space="0" w:color="auto"/>
              <w:right w:val="single" w:sz="4" w:space="0" w:color="auto"/>
            </w:tcBorders>
          </w:tcPr>
          <w:p w14:paraId="7896D28F"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7 %</w:t>
            </w:r>
          </w:p>
        </w:tc>
      </w:tr>
      <w:tr w:rsidR="00533559" w:rsidRPr="005C0007" w14:paraId="1D16643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4560E4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GLOBAL</w:t>
            </w:r>
          </w:p>
        </w:tc>
        <w:tc>
          <w:tcPr>
            <w:tcW w:w="727" w:type="pct"/>
            <w:tcBorders>
              <w:top w:val="single" w:sz="4" w:space="0" w:color="auto"/>
              <w:left w:val="single" w:sz="4" w:space="0" w:color="auto"/>
              <w:bottom w:val="single" w:sz="4" w:space="0" w:color="auto"/>
              <w:right w:val="single" w:sz="4" w:space="0" w:color="auto"/>
            </w:tcBorders>
            <w:hideMark/>
          </w:tcPr>
          <w:p w14:paraId="3123C77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14 %</w:t>
            </w:r>
          </w:p>
        </w:tc>
        <w:tc>
          <w:tcPr>
            <w:tcW w:w="847" w:type="pct"/>
            <w:tcBorders>
              <w:top w:val="single" w:sz="4" w:space="0" w:color="auto"/>
              <w:left w:val="single" w:sz="4" w:space="0" w:color="auto"/>
              <w:bottom w:val="single" w:sz="4" w:space="0" w:color="auto"/>
              <w:right w:val="single" w:sz="4" w:space="0" w:color="auto"/>
            </w:tcBorders>
            <w:hideMark/>
          </w:tcPr>
          <w:p w14:paraId="44A760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35 %</w:t>
            </w:r>
          </w:p>
        </w:tc>
        <w:tc>
          <w:tcPr>
            <w:tcW w:w="720" w:type="pct"/>
            <w:tcBorders>
              <w:top w:val="single" w:sz="4" w:space="0" w:color="auto"/>
              <w:left w:val="single" w:sz="4" w:space="0" w:color="auto"/>
              <w:bottom w:val="single" w:sz="4" w:space="0" w:color="auto"/>
              <w:right w:val="single" w:sz="4" w:space="0" w:color="auto"/>
            </w:tcBorders>
            <w:hideMark/>
          </w:tcPr>
          <w:p w14:paraId="6426DF96"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22 %</w:t>
            </w:r>
          </w:p>
        </w:tc>
        <w:tc>
          <w:tcPr>
            <w:tcW w:w="894" w:type="pct"/>
            <w:tcBorders>
              <w:top w:val="single" w:sz="4" w:space="0" w:color="auto"/>
              <w:left w:val="single" w:sz="4" w:space="0" w:color="auto"/>
              <w:bottom w:val="single" w:sz="4" w:space="0" w:color="auto"/>
              <w:right w:val="single" w:sz="4" w:space="0" w:color="auto"/>
            </w:tcBorders>
            <w:hideMark/>
          </w:tcPr>
          <w:p w14:paraId="425C675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3 %</w:t>
            </w:r>
          </w:p>
        </w:tc>
        <w:tc>
          <w:tcPr>
            <w:tcW w:w="1050" w:type="pct"/>
            <w:tcBorders>
              <w:top w:val="single" w:sz="4" w:space="0" w:color="auto"/>
              <w:left w:val="single" w:sz="4" w:space="0" w:color="auto"/>
              <w:bottom w:val="single" w:sz="4" w:space="0" w:color="auto"/>
              <w:right w:val="single" w:sz="4" w:space="0" w:color="auto"/>
            </w:tcBorders>
            <w:hideMark/>
          </w:tcPr>
          <w:p w14:paraId="6DF64DDF" w14:textId="77777777" w:rsidR="00533559" w:rsidRPr="005C0007"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0 %</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