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sz w:val="36"/>
          <w:szCs w:val="36"/>
        </w:rPr>
        <w:t>GRADO/MÁSTER EN: GRADO EN INGENIERÍA AEROESPACIAL</w:t>
      </w:r>
      <w:r w:rsidR="0053409A" w:rsidRPr="00247EB5">
        <w:rPr>
          <w:b/>
          <w:sz w:val="36"/>
          <w:szCs w:val="36"/>
        </w:rPr>
      </w:r>
      <w:r w:rsidR="00247EB5" w:rsidRPr="00247EB5">
        <w:rPr>
          <w:b/>
          <w:sz w:val="36"/>
          <w:szCs w:val="36"/>
        </w:rPr>
      </w:r>
    </w:p>
    <w:p w14:paraId="71350B02" w14:textId="6A1A05D1" w:rsidR="004F2CEB" w:rsidRPr="00247EB5" w:rsidRDefault="006C41BD" w:rsidP="00B27276">
      <w:pPr>
        <w:ind w:left="1416"/>
        <w:rPr>
          <w:b/>
          <w:sz w:val="36"/>
          <w:szCs w:val="36"/>
        </w:rPr>
      </w:pPr>
      <w:r w:rsidRPr="00247EB5">
        <w:rPr>
          <w:b/>
          <w:sz w:val="36"/>
          <w:szCs w:val="36"/>
        </w:rPr>
        <w:t>CENTRO/S: ESCUELA SUPERIOR DE INGENIERÍA</w:t>
      </w:r>
      <w:r w:rsidR="004F293C">
        <w:rPr>
          <w:b/>
          <w:sz w:val="36"/>
          <w:szCs w:val="36"/>
        </w:rPr>
      </w:r>
      <w:r w:rsidR="00247EB5" w:rsidRPr="00247EB5">
        <w:rPr>
          <w:b/>
          <w:sz w:val="36"/>
          <w:szCs w:val="36"/>
        </w:rPr>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r>
              <w:t>Fecha: [PENDIENTE: fecha de aprobación en la CGC]</w:t>
            </w:r>
          </w:p>
        </w:tc>
        <w:tc>
          <w:tcPr>
            <w:tcW w:w="3456" w:type="dxa"/>
            <w:shd w:val="clear" w:color="auto" w:fill="00607C"/>
          </w:tcPr>
          <w:p>
            <w:r>
              <w:t>Fecha: [PENDIENTE: fecha de aprobación en la Junta de Escuela]</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2502553</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Graduado o Graduada en Ingeniería Aeroespacial por la Universidad de Cádiz</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2011-2012</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https://esingenieria.uca.es/docencia/grados/gia/</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r>
              <w:t>X</w:t>
            </w: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No procede.</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05/07/2023</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No (prácticas externas optativas de 12 ECTS)</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Menciones en Aeronaves y en Equipos y Materiales Aeroespaciales</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r>
              <w:t>Colabora (gestión documental del centro)</w:t>
            </w:r>
          </w:p>
        </w:tc>
        <w:tc>
          <w:tcPr>
            <w:tcW w:w="3825" w:type="dxa"/>
            <w:tcBorders>
              <w:top w:val="single" w:sz="4" w:space="0" w:color="auto"/>
              <w:left w:val="single" w:sz="4" w:space="0" w:color="auto"/>
              <w:bottom w:val="single" w:sz="4" w:space="0" w:color="auto"/>
              <w:right w:val="single" w:sz="4" w:space="0" w:color="auto"/>
            </w:tcBorders>
            <w:vAlign w:val="center"/>
          </w:tcPr>
          <w:p>
            <w:r>
              <w:t>[PENDIENTE: URL]</w:t>
            </w:r>
          </w:p>
        </w:tc>
        <w:tc>
          <w:tcPr>
            <w:tcW w:w="2074" w:type="dxa"/>
            <w:tcBorders>
              <w:top w:val="single" w:sz="4" w:space="0" w:color="auto"/>
              <w:left w:val="single" w:sz="4" w:space="0" w:color="auto"/>
              <w:bottom w:val="single" w:sz="4" w:space="0" w:color="auto"/>
              <w:right w:val="single" w:sz="4" w:space="0" w:color="auto"/>
            </w:tcBorders>
            <w:vAlign w:val="center"/>
          </w:tcPr>
          <w:p>
            <w:r>
              <w:t>[PENDIENTE]</w:t>
            </w:r>
          </w:p>
        </w:tc>
        <w:tc>
          <w:tcPr>
            <w:tcW w:w="1547" w:type="dxa"/>
            <w:tcBorders>
              <w:top w:val="single" w:sz="4" w:space="0" w:color="auto"/>
              <w:left w:val="single" w:sz="4" w:space="0" w:color="auto"/>
              <w:bottom w:val="single" w:sz="4" w:space="0" w:color="auto"/>
              <w:right w:val="single" w:sz="4" w:space="0" w:color="auto"/>
            </w:tcBorders>
            <w:vAlign w:val="center"/>
          </w:tcPr>
          <w:p>
            <w:r>
              <w:t>[PENDIENTE]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r>
              <w:t>Sistema de Información de la UCA (LinceBI)</w:t>
            </w:r>
          </w:p>
        </w:tc>
        <w:tc>
          <w:tcPr>
            <w:tcW w:w="3825" w:type="dxa"/>
            <w:tcBorders>
              <w:top w:val="single" w:sz="4" w:space="0" w:color="auto"/>
              <w:left w:val="single" w:sz="4" w:space="0" w:color="auto"/>
              <w:bottom w:val="single" w:sz="4" w:space="0" w:color="auto"/>
              <w:right w:val="single" w:sz="4" w:space="0" w:color="auto"/>
            </w:tcBorders>
            <w:vAlign w:val="center"/>
          </w:tcPr>
          <w:p>
            <w:r>
              <w:t>https://data.uca.es/lincebi</w:t>
            </w:r>
          </w:p>
        </w:tc>
        <w:tc>
          <w:tcPr>
            <w:tcW w:w="2074" w:type="dxa"/>
            <w:tcBorders>
              <w:top w:val="single" w:sz="4" w:space="0" w:color="auto"/>
              <w:left w:val="single" w:sz="4" w:space="0" w:color="auto"/>
              <w:bottom w:val="single" w:sz="4" w:space="0" w:color="auto"/>
              <w:right w:val="single" w:sz="4" w:space="0" w:color="auto"/>
            </w:tcBorders>
            <w:vAlign w:val="center"/>
          </w:tcPr>
          <w:p>
            <w:r>
              <w:t>[PENDIENTE]</w:t>
            </w:r>
          </w:p>
        </w:tc>
        <w:tc>
          <w:tcPr>
            <w:tcW w:w="1547" w:type="dxa"/>
            <w:tcBorders>
              <w:top w:val="single" w:sz="4" w:space="0" w:color="auto"/>
              <w:left w:val="single" w:sz="4" w:space="0" w:color="auto"/>
              <w:bottom w:val="single" w:sz="4" w:space="0" w:color="auto"/>
              <w:right w:val="single" w:sz="4" w:space="0" w:color="auto"/>
            </w:tcBorders>
            <w:vAlign w:val="center"/>
          </w:tcPr>
          <w:p>
            <w:r>
              <w:t>[PENDIENTE]</w:t>
            </w:r>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70CDD3F8" w14:textId="2D2E6A88" w:rsidR="00D82372" w:rsidRPr="00753C6E" w:rsidRDefault="00D82372" w:rsidP="00DB4F1B">
      <w:pPr>
        <w:pStyle w:val="Prrafodelista"/>
        <w:spacing w:after="120" w:line="240" w:lineRule="auto"/>
        <w:ind w:left="0"/>
        <w:jc w:val="both"/>
        <w:rPr>
          <w:rFonts w:asciiTheme="minorHAnsi" w:hAnsiTheme="minorHAnsi"/>
          <w:bCs/>
          <w:sz w:val="20"/>
          <w:szCs w:val="20"/>
        </w:rPr>
      </w:pPr>
      <w:r w:rsidRPr="00753C6E">
        <w:rPr>
          <w:rFonts w:asciiTheme="minorHAnsi" w:hAnsiTheme="minorHAnsi"/>
          <w:bCs/>
          <w:sz w:val="20"/>
          <w:szCs w:val="20"/>
        </w:rPr>
        <w:t xml:space="preserve">La información pública del </w:t>
      </w:r>
      <w:r w:rsidRPr="00753C6E">
        <w:rPr>
          <w:rFonts w:asciiTheme="minorHAnsi" w:hAnsiTheme="minorHAnsi"/>
          <w:bCs/>
          <w:sz w:val="20"/>
          <w:szCs w:val="20"/>
        </w:rPr>
        <w:t>Grado en Ingeniería Aeroespacial</w:t>
      </w:r>
      <w:r w:rsidR="00B27276" w:rsidRPr="00753C6E">
        <w:rPr>
          <w:rFonts w:asciiTheme="minorHAnsi" w:hAnsiTheme="minorHAnsi"/>
          <w:bCs/>
          <w:color w:val="FF0000"/>
          <w:sz w:val="20"/>
          <w:szCs w:val="20"/>
        </w:rPr>
        <w:t xml:space="preserve"> </w:t>
      </w:r>
      <w:r w:rsidRPr="00753C6E">
        <w:rPr>
          <w:rFonts w:asciiTheme="minorHAnsi" w:hAnsiTheme="minorHAnsi"/>
          <w:bCs/>
          <w:sz w:val="20"/>
          <w:szCs w:val="20"/>
        </w:rPr>
        <w:t>se elabora</w:t>
      </w:r>
      <w:r w:rsidR="00D14242" w:rsidRPr="00753C6E">
        <w:rPr>
          <w:rFonts w:asciiTheme="minorHAnsi" w:hAnsiTheme="minorHAnsi"/>
          <w:bCs/>
          <w:sz w:val="20"/>
          <w:szCs w:val="20"/>
        </w:rPr>
        <w:t xml:space="preserve">, </w:t>
      </w:r>
      <w:r w:rsidR="008F0A06" w:rsidRPr="00753C6E">
        <w:rPr>
          <w:rFonts w:asciiTheme="minorHAnsi" w:hAnsiTheme="minorHAnsi"/>
          <w:bCs/>
          <w:sz w:val="20"/>
          <w:szCs w:val="20"/>
        </w:rPr>
        <w:t>habitualmente, de</w:t>
      </w:r>
      <w:r w:rsidRPr="00753C6E">
        <w:rPr>
          <w:rFonts w:asciiTheme="minorHAnsi" w:hAnsiTheme="minorHAnsi"/>
          <w:bCs/>
          <w:sz w:val="20"/>
          <w:szCs w:val="20"/>
        </w:rPr>
        <w:t xml:space="preserve"> acuerdo con </w:t>
      </w:r>
      <w:r w:rsidR="00337274" w:rsidRPr="00753C6E">
        <w:rPr>
          <w:rFonts w:asciiTheme="minorHAnsi" w:hAnsiTheme="minorHAnsi"/>
          <w:bCs/>
          <w:sz w:val="20"/>
          <w:szCs w:val="20"/>
        </w:rPr>
        <w:t>los protocolos en vigor de ACCUA</w:t>
      </w:r>
      <w:r w:rsidR="00D14242" w:rsidRPr="00753C6E">
        <w:rPr>
          <w:rFonts w:asciiTheme="minorHAnsi" w:hAnsiTheme="minorHAnsi"/>
          <w:bCs/>
          <w:sz w:val="20"/>
          <w:szCs w:val="20"/>
        </w:rPr>
        <w:t>.</w:t>
      </w: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sz w:val="20"/>
          <w:szCs w:val="20"/>
        </w:rPr>
        <w:t xml:space="preserve">En dicha web el título publica información completa y actualizada sobre las características del programa y su desarrollo operativo, los resultados alcanzados y la satisfacción de los grupos de </w:t>
      </w:r>
      <w:r w:rsidR="008F0A06" w:rsidRPr="00753C6E">
        <w:rPr>
          <w:rFonts w:asciiTheme="minorHAnsi" w:hAnsiTheme="minorHAnsi"/>
          <w:bCs/>
          <w:sz w:val="20"/>
          <w:szCs w:val="20"/>
        </w:rPr>
        <w:t>interés,</w:t>
      </w:r>
      <w:r w:rsidRPr="00753C6E">
        <w:rPr>
          <w:rFonts w:asciiTheme="minorHAnsi" w:hAnsiTheme="minorHAnsi"/>
          <w:bCs/>
          <w:sz w:val="20"/>
          <w:szCs w:val="20"/>
        </w:rPr>
        <w:t xml:space="preserve"> así como al Sistema de Garantía de Calidad donde se incluye información sobre los responsables del mismo, los procesos y </w:t>
      </w:r>
      <w:r w:rsidR="008F0A06" w:rsidRPr="00753C6E">
        <w:rPr>
          <w:rFonts w:asciiTheme="minorHAnsi" w:hAnsiTheme="minorHAnsi"/>
          <w:bCs/>
          <w:sz w:val="20"/>
          <w:szCs w:val="20"/>
        </w:rPr>
        <w:t>procedimientos,</w:t>
      </w:r>
      <w:r w:rsidRPr="00753C6E">
        <w:rPr>
          <w:rFonts w:asciiTheme="minorHAnsi" w:hAnsiTheme="minorHAnsi"/>
          <w:bCs/>
          <w:sz w:val="20"/>
          <w:szCs w:val="20"/>
        </w:rPr>
        <w:t xml:space="preserve"> así como el Plan de Mejora del título.  </w:t>
      </w:r>
      <w:bookmarkStart w:id="0" w:name="_Hlk102498743"/>
      <w:r w:rsidR="008F0A06" w:rsidRPr="00753C6E">
        <w:rPr>
          <w:rFonts w:asciiTheme="minorHAnsi" w:hAnsiTheme="minorHAnsi"/>
          <w:sz w:val="20"/>
          <w:szCs w:val="20"/>
          <w:shd w:val="clear" w:color="auto" w:fill="FFFFFF"/>
        </w:rPr>
        <w:t>Asimismo, la</w:t>
      </w:r>
      <w:r w:rsidRPr="00753C6E">
        <w:rPr>
          <w:rFonts w:asciiTheme="minorHAnsi" w:hAnsiTheme="minorHAnsi"/>
          <w:sz w:val="20"/>
          <w:szCs w:val="20"/>
          <w:shd w:val="clear" w:color="auto" w:fill="FFFFFF"/>
        </w:rPr>
        <w:t xml:space="preserve"> web da acceso a las diferentes normativas académicas</w:t>
      </w:r>
      <w:bookmarkEnd w:id="0"/>
      <w:r w:rsidRPr="00753C6E">
        <w:rPr>
          <w:rFonts w:asciiTheme="minorHAnsi" w:hAnsiTheme="minorHAnsi"/>
          <w:sz w:val="20"/>
          <w:szCs w:val="20"/>
          <w:shd w:val="clear" w:color="auto" w:fill="FFFFFF"/>
        </w:rPr>
        <w:t xml:space="preserve"> y sistemas de apoyo específicos para el alumnado una vez matriculado y a los documentos oficiales del </w:t>
      </w:r>
      <w:r w:rsidRPr="000C3BBA">
        <w:rPr>
          <w:rFonts w:asciiTheme="minorHAnsi" w:hAnsiTheme="minorHAnsi"/>
          <w:sz w:val="20"/>
          <w:szCs w:val="20"/>
          <w:shd w:val="clear" w:color="auto" w:fill="FFFFFF"/>
        </w:rPr>
        <w:t>título (</w:t>
      </w:r>
      <w:r w:rsidR="004743B5" w:rsidRPr="000C3BBA">
        <w:rPr>
          <w:rFonts w:asciiTheme="minorHAnsi" w:hAnsiTheme="minorHAnsi"/>
          <w:sz w:val="20"/>
          <w:szCs w:val="20"/>
          <w:shd w:val="clear" w:color="auto" w:fill="FFFFFF"/>
        </w:rPr>
        <w:t>m</w:t>
      </w:r>
      <w:r w:rsidRPr="000C3BBA">
        <w:rPr>
          <w:rFonts w:asciiTheme="minorHAnsi" w:hAnsiTheme="minorHAnsi"/>
          <w:sz w:val="20"/>
          <w:szCs w:val="20"/>
          <w:shd w:val="clear" w:color="auto" w:fill="FFFFFF"/>
        </w:rPr>
        <w:t xml:space="preserve">emoria, </w:t>
      </w:r>
      <w:proofErr w:type="spellStart"/>
      <w:r w:rsidR="004743B5" w:rsidRPr="000C3BBA">
        <w:rPr>
          <w:rFonts w:asciiTheme="minorHAnsi" w:hAnsiTheme="minorHAnsi"/>
          <w:sz w:val="20"/>
          <w:szCs w:val="20"/>
          <w:shd w:val="clear" w:color="auto" w:fill="FFFFFF"/>
        </w:rPr>
        <w:t>a</w:t>
      </w:r>
      <w:r w:rsidRPr="000C3BBA">
        <w:rPr>
          <w:rFonts w:asciiTheme="minorHAnsi" w:hAnsiTheme="minorHAnsi"/>
          <w:sz w:val="20"/>
          <w:szCs w:val="20"/>
          <w:shd w:val="clear" w:color="auto" w:fill="FFFFFF"/>
        </w:rPr>
        <w:t>ut</w:t>
      </w:r>
      <w:r w:rsidRPr="00753C6E">
        <w:rPr>
          <w:rFonts w:asciiTheme="minorHAnsi" w:hAnsiTheme="minorHAnsi"/>
          <w:sz w:val="20"/>
          <w:szCs w:val="20"/>
          <w:shd w:val="clear" w:color="auto" w:fill="FFFFFF"/>
        </w:rPr>
        <w:t>oinformes</w:t>
      </w:r>
      <w:proofErr w:type="spellEnd"/>
      <w:r w:rsidRPr="00753C6E">
        <w:rPr>
          <w:rFonts w:asciiTheme="minorHAnsi" w:hAnsiTheme="minorHAnsi"/>
          <w:sz w:val="20"/>
          <w:szCs w:val="20"/>
          <w:shd w:val="clear" w:color="auto" w:fill="FFFFFF"/>
        </w:rPr>
        <w:t xml:space="preserve">, informes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etc.)</w:t>
      </w:r>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web del título (https://esingenieria.uca.es/docencia/grados/gia/) se renovó en el curso 2023-24 y, tras la renovación de la acreditación de 2023, enlaza un documento con el perfil básico del profesorado del título (subsanación nº 1 de ACCUA). Falta actualizar ese documento con el profesorado de 2024-25 y publicar datos de satisfacción de empleadores (subsanación nº 3), que el título todavía no recoge.</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Los indicadores del P01 (Anexo 1) se mantienen en valores aceptables. La satisfacción del alumnado con la información publicada (ISGC-P01-01) es de 3,45 sobre 5 en 2024-25, algo inferior a la de 2023-24 (3,64) y similar a la del centro (3,37) y la UCA (3,49). El PDI la valora mejor (ISGC-P01-02: 4,19), aunque baja respecto al curso anterior (4,65) y queda ligeramente por debajo del centro (4,29) y la UCA (4,25). La satisfacción del PTGAS (ISGC-P01-03) solo se mide por centro: 3,64 en 2024-25 (UCA: 3,67).</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Estos resultados deben leerse con cautela, porque la participación del alumnado en la encuesta ha caído al 17,58% (31,21% en 2020-21), por debajo del centro (20,21%) y la UCA (31,02%). Se recoge como punto débil (PD-ESI-1.1). En cuanto a la accesibilidad de la web (subsanación nº 2), los sitios de la UCA usan el tema institucional, pero falta revisar los contenidos propios del título; la acción sigue en curso.</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PF-ESI-1.1.- La satisfacción del PDI con la información publicada del título se mantiene en valores altos (4,19 sobre 5 en 2024-25, por encima de 4 en los cinco cursos analizados).</w:t>
              <w:br/>
              <w:t>- PF-ESI-1.2.- El título publica el perfil básico de su profesorado, en respuesta a la subsanación de ACCUA.</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sidRPr="00037BD7">
              <w:rPr>
                <w:rFonts w:asciiTheme="minorHAnsi" w:hAnsiTheme="minorHAnsi"/>
                <w:i/>
                <w:sz w:val="18"/>
                <w:szCs w:val="18"/>
              </w:rPr>
              <w:t>Punto débil nº 1: PD-ESI-1.1.- La participación del alumnado en la encuesta de satisfacción con el título desciende al 17,58% (31,21% en 2020-21), por debajo del centro (20,21%) y de la UCA (31,02%).</w:t>
            </w:r>
          </w:p>
        </w:tc>
        <w:tc>
          <w:tcPr>
            <w:tcW w:w="2409" w:type="pct"/>
            <w:tcBorders>
              <w:bottom w:val="single" w:sz="4" w:space="0" w:color="auto"/>
            </w:tcBorders>
            <w:shd w:val="clear" w:color="auto" w:fill="auto"/>
            <w:vAlign w:val="center"/>
          </w:tcPr>
          <w:p w14:paraId="0B140554"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Acción de mejora nº 1: AM-ESI-1.1.- Campaña de difusión de las encuestas de satisfacción en el curso del título del Campus Virtual y en el aula, con recordatorios del profesorado coordinador de cada curso durante el periodo de encuesta.</w:t>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1225F12D" w14:textId="7CCE7256" w:rsidR="007E7C6C" w:rsidRPr="00DB4F1B" w:rsidRDefault="00F22295"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base al P02-</w:t>
      </w:r>
      <w:r w:rsidR="007E7C6C" w:rsidRPr="00DB4F1B">
        <w:rPr>
          <w:rFonts w:asciiTheme="minorHAnsi" w:eastAsia="Calibri" w:hAnsiTheme="minorHAnsi" w:cstheme="minorHAnsi"/>
          <w:sz w:val="20"/>
          <w:szCs w:val="20"/>
          <w:shd w:val="clear" w:color="auto" w:fill="FFFFFF"/>
          <w:lang w:eastAsia="en-US"/>
        </w:rPr>
        <w:t xml:space="preserve">Proceso para la revisión de la gestión de la calidad la </w:t>
      </w:r>
      <w:r w:rsidR="007E7C6C" w:rsidRPr="00DB4F1B">
        <w:rPr>
          <w:rFonts w:asciiTheme="minorHAnsi" w:eastAsia="Calibri" w:hAnsiTheme="minorHAnsi" w:cstheme="minorHAnsi"/>
          <w:sz w:val="20"/>
          <w:szCs w:val="20"/>
          <w:shd w:val="clear" w:color="auto" w:fill="FFFFFF"/>
          <w:lang w:eastAsia="en-US"/>
        </w:rPr>
        <w:t xml:space="preserve">Escuela Superior de Ingeniería </w:t>
      </w:r>
      <w:r w:rsidR="007E7C6C" w:rsidRPr="00DB4F1B">
        <w:rPr>
          <w:rFonts w:asciiTheme="minorHAnsi" w:eastAsia="Calibri" w:hAnsiTheme="minorHAnsi" w:cstheme="minorHAnsi"/>
          <w:color w:val="auto"/>
          <w:sz w:val="20"/>
          <w:szCs w:val="20"/>
          <w:shd w:val="clear" w:color="auto" w:fill="FFFFFF"/>
          <w:lang w:eastAsia="en-US"/>
        </w:rPr>
        <w:t xml:space="preserve">aprobó </w:t>
      </w:r>
      <w:r w:rsidRPr="00DB4F1B">
        <w:rPr>
          <w:rFonts w:asciiTheme="minorHAnsi" w:eastAsia="Calibri" w:hAnsiTheme="minorHAnsi" w:cstheme="minorHAnsi"/>
          <w:color w:val="auto"/>
          <w:sz w:val="20"/>
          <w:szCs w:val="20"/>
          <w:shd w:val="clear" w:color="auto" w:fill="FFFFFF"/>
          <w:lang w:eastAsia="en-US"/>
        </w:rPr>
        <w:t>su Política</w:t>
      </w:r>
      <w:r w:rsidR="007E7C6C" w:rsidRPr="00DB4F1B">
        <w:rPr>
          <w:rFonts w:asciiTheme="minorHAnsi" w:eastAsia="Calibri" w:hAnsiTheme="minorHAnsi" w:cstheme="minorHAnsi"/>
          <w:color w:val="auto"/>
          <w:sz w:val="20"/>
          <w:szCs w:val="20"/>
          <w:shd w:val="clear" w:color="auto" w:fill="FFFFFF"/>
          <w:lang w:eastAsia="en-US"/>
        </w:rPr>
        <w:t xml:space="preserve"> de Calidad en sesión de Junta de </w:t>
      </w:r>
      <w:r w:rsidR="007E7C6C" w:rsidRPr="00DB4F1B">
        <w:rPr>
          <w:rFonts w:asciiTheme="minorHAnsi" w:eastAsia="Calibri" w:hAnsiTheme="minorHAnsi" w:cstheme="minorHAnsi"/>
          <w:sz w:val="20"/>
          <w:szCs w:val="20"/>
          <w:shd w:val="clear" w:color="auto" w:fill="FFFFFF"/>
          <w:lang w:eastAsia="en-US"/>
        </w:rPr>
        <w:t xml:space="preserve">Escuela </w:t>
      </w:r>
      <w:r w:rsidR="007E7C6C" w:rsidRPr="00DB4F1B">
        <w:rPr>
          <w:rFonts w:asciiTheme="minorHAnsi" w:eastAsia="Calibri" w:hAnsiTheme="minorHAnsi" w:cstheme="minorHAnsi"/>
          <w:color w:val="auto"/>
          <w:sz w:val="20"/>
          <w:szCs w:val="20"/>
          <w:shd w:val="clear" w:color="auto" w:fill="FFFFFF"/>
          <w:lang w:eastAsia="en-US"/>
        </w:rPr>
        <w:t xml:space="preserve">del pasado </w:t>
      </w:r>
      <w:r w:rsidR="007E7C6C" w:rsidRPr="00DB4F1B">
        <w:rPr>
          <w:rFonts w:asciiTheme="minorHAnsi" w:eastAsia="Calibri" w:hAnsiTheme="minorHAnsi" w:cstheme="minorHAnsi"/>
          <w:sz w:val="20"/>
          <w:szCs w:val="20"/>
          <w:shd w:val="clear" w:color="auto" w:fill="FFFFFF"/>
          <w:lang w:eastAsia="en-US"/>
        </w:rPr>
        <w:t>[PENDIENTE: fecha de aprobación de la Política de Calidad]</w:t>
      </w:r>
      <w:r w:rsidR="007E7C6C" w:rsidRPr="00DB4F1B">
        <w:rPr>
          <w:rFonts w:asciiTheme="minorHAnsi" w:eastAsia="Calibri" w:hAnsiTheme="minorHAnsi" w:cstheme="minorHAnsi"/>
          <w:color w:val="auto"/>
          <w:sz w:val="20"/>
          <w:szCs w:val="20"/>
          <w:shd w:val="clear" w:color="auto" w:fill="FFFFFF"/>
          <w:lang w:eastAsia="en-US"/>
        </w:rPr>
        <w:t xml:space="preserve">. Dicha Política de Calidad se encuentra alineada con la </w:t>
      </w:r>
      <w:hyperlink r:id="rId12" w:history="1">
        <w:r w:rsidR="007E7C6C" w:rsidRPr="00DB4F1B">
          <w:rPr>
            <w:rStyle w:val="Hipervnculo"/>
            <w:rFonts w:asciiTheme="minorHAnsi" w:eastAsia="Calibri" w:hAnsiTheme="minorHAnsi" w:cstheme="minorHAnsi"/>
            <w:sz w:val="20"/>
            <w:szCs w:val="20"/>
            <w:shd w:val="clear" w:color="auto" w:fill="FFFFFF"/>
            <w:lang w:eastAsia="en-US"/>
          </w:rPr>
          <w:t>Política de Calidad de la UCA</w:t>
        </w:r>
      </w:hyperlink>
      <w:r w:rsidR="007E7C6C" w:rsidRPr="00DB4F1B">
        <w:rPr>
          <w:rFonts w:asciiTheme="minorHAnsi" w:eastAsia="Calibri" w:hAnsiTheme="minorHAnsi" w:cstheme="minorHAnsi"/>
          <w:color w:val="auto"/>
          <w:sz w:val="20"/>
          <w:szCs w:val="20"/>
          <w:shd w:val="clear" w:color="auto" w:fill="FFFFFF"/>
          <w:lang w:eastAsia="en-US"/>
        </w:rPr>
        <w:t>.</w:t>
      </w: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7443AEC7" w14:textId="0A39965E"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sz w:val="20"/>
          <w:szCs w:val="20"/>
          <w:shd w:val="clear" w:color="auto" w:fill="FFFFFF"/>
          <w:lang w:eastAsia="en-US"/>
        </w:rPr>
        <w:t xml:space="preserve">La Comisión de Garantía de Calidad de la </w:t>
      </w:r>
      <w:r w:rsidRPr="00DB4F1B">
        <w:rPr>
          <w:rFonts w:asciiTheme="minorHAnsi" w:eastAsia="Calibri" w:hAnsiTheme="minorHAnsi" w:cstheme="minorHAnsi"/>
          <w:sz w:val="20"/>
          <w:szCs w:val="20"/>
          <w:shd w:val="clear" w:color="auto" w:fill="FFFFFF"/>
          <w:lang w:eastAsia="en-US"/>
        </w:rPr>
        <w:t xml:space="preserve">Escuela Superior de Ingeniería </w:t>
      </w:r>
      <w:r w:rsidRPr="00DB4F1B">
        <w:rPr>
          <w:rFonts w:asciiTheme="minorHAnsi" w:eastAsia="Calibri" w:hAnsiTheme="minorHAnsi" w:cstheme="minorHAnsi"/>
          <w:sz w:val="20"/>
          <w:szCs w:val="20"/>
          <w:shd w:val="clear" w:color="auto" w:fill="FFFFFF"/>
          <w:lang w:eastAsia="en-US"/>
        </w:rPr>
        <w:t>está compuesta por los miembros que figuran en la web del centro: [PENDIENTE: enlace a la composición de la CGC].</w:t>
      </w: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14B0E5FF" w14:textId="12707E55"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Esta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 xml:space="preserve">omisión cuenta con un Reglamento de funcionamiento que se puede consultar en el siguiente enlace: </w:t>
      </w:r>
      <w:r w:rsidRPr="00EA51D0">
        <w:rPr>
          <w:rFonts w:asciiTheme="minorHAnsi" w:eastAsia="Calibri" w:hAnsiTheme="minorHAnsi" w:cstheme="minorHAnsi"/>
          <w:sz w:val="20"/>
          <w:szCs w:val="20"/>
          <w:shd w:val="clear" w:color="auto" w:fill="FFFFFF"/>
          <w:lang w:eastAsia="en-US"/>
        </w:rPr>
        <w:t>[PENDIENTE: enlace al reglamento de funcionamiento de la CGC]</w:t>
      </w:r>
      <w:r w:rsidRPr="00EA51D0">
        <w:rPr>
          <w:rFonts w:asciiTheme="minorHAnsi" w:eastAsia="Calibri" w:hAnsiTheme="minorHAnsi" w:cstheme="minorHAnsi"/>
          <w:color w:val="auto"/>
          <w:sz w:val="20"/>
          <w:szCs w:val="20"/>
          <w:shd w:val="clear" w:color="auto" w:fill="FFFFFF"/>
          <w:lang w:eastAsia="en-US"/>
        </w:rPr>
        <w:t xml:space="preserve">. </w:t>
      </w: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sz w:val="20"/>
          <w:szCs w:val="20"/>
          <w:shd w:val="clear" w:color="auto" w:fill="FFFFFF"/>
          <w:lang w:eastAsia="en-US"/>
        </w:rPr>
        <w:t>Espacio Colabora del centro (ruta «ESI-Comisión de Garantía de Calidad &gt; Biblioteca de documentos &gt; Actas Definitivas»)</w:t>
      </w:r>
      <w:r w:rsidR="004906E1" w:rsidRPr="00EA51D0">
        <w:rPr>
          <w:rFonts w:asciiTheme="minorHAnsi" w:eastAsia="Calibri" w:hAnsiTheme="minorHAnsi" w:cstheme="minorHAnsi"/>
          <w:color w:val="auto"/>
          <w:sz w:val="20"/>
          <w:szCs w:val="20"/>
          <w:shd w:val="clear" w:color="auto" w:fill="FFFFFF"/>
          <w:lang w:eastAsia="en-US"/>
        </w:rPr>
      </w:r>
      <w:r w:rsidR="00DB4F1B" w:rsidRPr="00EA51D0">
        <w:rPr>
          <w:rFonts w:asciiTheme="minorHAnsi" w:eastAsia="Calibri" w:hAnsiTheme="minorHAnsi" w:cstheme="minorHAnsi"/>
          <w:color w:val="auto"/>
          <w:sz w:val="20"/>
          <w:szCs w:val="20"/>
          <w:shd w:val="clear" w:color="auto" w:fill="FFFFFF"/>
          <w:lang w:eastAsia="en-US"/>
        </w:rPr>
      </w:r>
      <w:r w:rsidR="004906E1" w:rsidRPr="00EA51D0">
        <w:rPr>
          <w:rFonts w:asciiTheme="minorHAnsi" w:eastAsia="Calibri" w:hAnsiTheme="minorHAnsi" w:cstheme="minorHAnsi"/>
          <w:color w:val="auto"/>
          <w:sz w:val="20"/>
          <w:szCs w:val="20"/>
          <w:shd w:val="clear" w:color="auto" w:fill="FFFFFF"/>
          <w:lang w:eastAsia="en-US"/>
        </w:rPr>
      </w:r>
      <w:r w:rsidR="00C6358C" w:rsidRPr="00EA51D0">
        <w:rPr>
          <w:rFonts w:asciiTheme="minorHAnsi" w:eastAsia="Calibri" w:hAnsiTheme="minorHAnsi" w:cstheme="minorHAnsi"/>
          <w:color w:val="auto"/>
          <w:sz w:val="20"/>
          <w:szCs w:val="20"/>
          <w:shd w:val="clear" w:color="auto" w:fill="FFFFFF"/>
          <w:lang w:eastAsia="en-US"/>
        </w:rPr>
      </w:r>
      <w:r w:rsidR="004906E1" w:rsidRPr="00EA51D0">
        <w:rPr>
          <w:rFonts w:asciiTheme="minorHAnsi" w:eastAsia="Calibri" w:hAnsiTheme="minorHAnsi" w:cstheme="minorHAnsi"/>
          <w:color w:val="auto"/>
          <w:sz w:val="20"/>
          <w:szCs w:val="20"/>
          <w:shd w:val="clear" w:color="auto" w:fill="FFFFFF"/>
          <w:lang w:eastAsia="en-US"/>
        </w:rPr>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sz w:val="20"/>
          <w:szCs w:val="20"/>
          <w:shd w:val="clear" w:color="auto" w:fill="FFFFFF"/>
        </w:rPr>
        <w:t xml:space="preserve">El </w:t>
      </w:r>
      <w:r w:rsidR="00F22295" w:rsidRPr="00EA51D0">
        <w:rPr>
          <w:rFonts w:asciiTheme="minorHAnsi" w:hAnsiTheme="minorHAnsi"/>
          <w:sz w:val="20"/>
          <w:szCs w:val="20"/>
          <w:shd w:val="clear" w:color="auto" w:fill="FFFFFF"/>
        </w:rPr>
        <w:t>título cuenta</w:t>
      </w:r>
      <w:r w:rsidR="00360E97" w:rsidRPr="00EA51D0">
        <w:rPr>
          <w:rFonts w:asciiTheme="minorHAnsi" w:hAnsiTheme="minorHAnsi"/>
          <w:sz w:val="20"/>
          <w:szCs w:val="20"/>
          <w:shd w:val="clear" w:color="auto" w:fill="FFFFFF"/>
        </w:rPr>
        <w:t xml:space="preserve"> con un Plan de Mejora actualizado a partir del análisis y revisión de la información recogida</w:t>
      </w:r>
      <w:r w:rsidRPr="00EA51D0">
        <w:rPr>
          <w:rFonts w:asciiTheme="minorHAnsi" w:hAnsiTheme="minorHAnsi"/>
          <w:sz w:val="20"/>
          <w:szCs w:val="20"/>
          <w:shd w:val="clear" w:color="auto" w:fill="FFFFFF"/>
        </w:rPr>
        <w:t xml:space="preserve"> a través de los diferentes procesos del SGC, incluidos los procesos de evaluación externa (</w:t>
      </w:r>
      <w:r w:rsidR="00337274" w:rsidRPr="00EA51D0">
        <w:rPr>
          <w:rFonts w:asciiTheme="minorHAnsi" w:hAnsiTheme="minorHAnsi"/>
          <w:sz w:val="20"/>
          <w:szCs w:val="20"/>
          <w:shd w:val="clear" w:color="auto" w:fill="FFFFFF"/>
        </w:rPr>
        <w:t>ACCUA</w:t>
      </w:r>
      <w:r w:rsidRPr="00EA51D0">
        <w:rPr>
          <w:rFonts w:asciiTheme="minorHAnsi" w:hAnsiTheme="minorHAnsi"/>
          <w:sz w:val="20"/>
          <w:szCs w:val="20"/>
          <w:shd w:val="clear" w:color="auto" w:fill="FFFFFF"/>
        </w:rPr>
        <w:t>)</w:t>
      </w:r>
      <w:r w:rsidR="00360E97"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En cada una de las acciones de </w:t>
      </w:r>
      <w:r w:rsidR="00F22295" w:rsidRPr="00EA51D0">
        <w:rPr>
          <w:rFonts w:asciiTheme="minorHAnsi" w:hAnsiTheme="minorHAnsi"/>
          <w:sz w:val="20"/>
          <w:szCs w:val="20"/>
          <w:shd w:val="clear" w:color="auto" w:fill="FFFFFF"/>
        </w:rPr>
        <w:t>mejora se</w:t>
      </w:r>
      <w:r w:rsidRPr="00EA51D0">
        <w:rPr>
          <w:rFonts w:asciiTheme="minorHAnsi" w:hAnsiTheme="minorHAnsi"/>
          <w:sz w:val="20"/>
          <w:szCs w:val="20"/>
          <w:shd w:val="clear" w:color="auto" w:fill="FFFFFF"/>
        </w:rPr>
        <w:t xml:space="preserve"> identifican</w:t>
      </w:r>
      <w:r w:rsidR="00360E97" w:rsidRPr="00EA51D0">
        <w:rPr>
          <w:rFonts w:asciiTheme="minorHAnsi" w:hAnsiTheme="minorHAnsi"/>
          <w:sz w:val="20"/>
          <w:szCs w:val="20"/>
          <w:shd w:val="clear" w:color="auto" w:fill="FFFFFF"/>
        </w:rPr>
        <w:t xml:space="preserve"> los indicadores que midan las acciones, los respo</w:t>
      </w:r>
      <w:r w:rsidRPr="00EA51D0">
        <w:rPr>
          <w:rFonts w:asciiTheme="minorHAnsi" w:hAnsiTheme="minorHAnsi"/>
          <w:sz w:val="20"/>
          <w:szCs w:val="20"/>
          <w:shd w:val="clear" w:color="auto" w:fill="FFFFFF"/>
        </w:rPr>
        <w:t>nsables, el nivel de prioridad</w:t>
      </w:r>
      <w:r w:rsidR="00AE77F9"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la consecución </w:t>
      </w:r>
      <w:r w:rsidR="00360E97" w:rsidRPr="00EA51D0">
        <w:rPr>
          <w:rFonts w:asciiTheme="minorHAnsi" w:hAnsiTheme="minorHAnsi"/>
          <w:sz w:val="20"/>
          <w:szCs w:val="20"/>
          <w:shd w:val="clear" w:color="auto" w:fill="FFFFFF"/>
        </w:rPr>
        <w:t xml:space="preserve">y la temporalización. </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CGC de la ESI analiza cada curso los indicadores del título en LinceBI, elabora el autoinforme y lo eleva a la Junta de Escuela; las actas se archivan en Colabora. Este autoinforme hace el seguimiento de las quince recomendaciones del informe final de renovación de la acreditación de ACCUA (5 de julio de 2023, favorable), con la misma numeración que el autoinforme 2023-24 (tabla siguiente y plan de mejora).</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El Buzón de Atención al Usuario (BAU) recoge reclamaciones, incidencias docentes, sugerencias y felicitaciones. En 2024-25, las reclamaciones (ISGC-P07-11) y las incidencias docentes (ISGC-P07-12) equivalen cada una al 1,36% de los usuarios. Son valores bajos, pero las reclamaciones crecen por segundo curso consecutivo (0,40% en 2022-23 y 0,97% en 2023-24) y superan las del centro (0,69%) y la UCA (0,66%); la CGC seguirá su evolución. No constan sugerencias ni felicitaciones (ISGC-P07-13 e ISGC-P07-14).</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Siguen abiertos tres puntos débiles del autoinforme 2023-24 sobre el SGC del centro: los ítems del SGC que faltan en la web (PD-ESI-1.1 de 2023-24), el desarrollo del SGC propio del centro en el programa IMPLANTA (PD-ESI-2.1) y la publicación del histórico de planes de mejora (PD-ESI-2.3). Se mantienen en el plan de mejora.</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PF-ESI-2.1.- El título mantiene la trazabilidad de las quince recomendaciones del informe de renovación de ACCUA de 2023 en el plan de mejora.</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tc>
          <w:tcPr>
            <w:tcW w:type="dxa" w:w="5442"/>
          </w:tcPr>
          <w:p>
            <w:r>
              <w:t>No se han identificado puntos débiles en este criterio.</w:t>
            </w:r>
          </w:p>
        </w:tc>
        <w:tc>
          <w:tcPr>
            <w:tcW w:type="dxa" w:w="4554"/>
          </w:tcPr>
          <w:p>
            <w:r>
              <w:t>—</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sidRPr="00EA51D0">
              <w:rPr>
                <w:b/>
                <w:sz w:val="16"/>
                <w:szCs w:val="16"/>
              </w:rPr>
              <w:t xml:space="preserve">Fecha del informe </w:t>
            </w:r>
            <w:r w:rsidR="00F22295" w:rsidRPr="00EA51D0">
              <w:rPr>
                <w:b/>
                <w:sz w:val="16"/>
                <w:szCs w:val="16"/>
              </w:rPr>
              <w:t>ACCUA</w:t>
            </w:r>
            <w:r w:rsidRPr="00EA51D0">
              <w:rPr>
                <w:b/>
                <w:sz w:val="16"/>
                <w:szCs w:val="16"/>
              </w:rPr>
              <w:t xml:space="preserve"> (Especificar tipo de informe </w:t>
            </w:r>
            <w:r w:rsidR="00F22295" w:rsidRPr="00EA51D0">
              <w:rPr>
                <w:b/>
                <w:sz w:val="16"/>
                <w:szCs w:val="16"/>
              </w:rPr>
              <w:t>ACCUA</w:t>
            </w:r>
            <w:r w:rsidRPr="00EA51D0">
              <w:rPr>
                <w:b/>
                <w:sz w:val="16"/>
                <w:szCs w:val="16"/>
              </w:rPr>
              <w:t>)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sidRPr="00EA51D0">
              <w:rPr>
                <w:b/>
                <w:sz w:val="16"/>
                <w:szCs w:val="16"/>
              </w:rPr>
              <w:t>Recomendaciones recibidas</w:t>
            </w:r>
            <w:r w:rsidR="000B408A" w:rsidRPr="00EA51D0">
              <w:rPr>
                <w:b/>
                <w:sz w:val="16"/>
                <w:szCs w:val="16"/>
              </w:rPr>
              <w:t xml:space="preserve"> (</w:t>
            </w:r>
            <w:r w:rsidR="00943E7B" w:rsidRPr="00EA51D0">
              <w:rPr>
                <w:b/>
                <w:sz w:val="16"/>
                <w:szCs w:val="16"/>
              </w:rPr>
              <w:t>Aspectos para la mejora del título y/o Aspectos que deben ser subsanados</w:t>
            </w:r>
            <w:r w:rsidR="000B408A" w:rsidRPr="00EA51D0">
              <w:rPr>
                <w:b/>
                <w:sz w:val="16"/>
                <w:szCs w:val="16"/>
              </w:rPr>
              <w:t>)</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sidRPr="00EA51D0">
              <w:rPr>
                <w:b/>
                <w:sz w:val="16"/>
                <w:szCs w:val="16"/>
              </w:rPr>
              <w:t xml:space="preserve">Acciones de mejora para dar respuesta a estas recomendaciones </w:t>
            </w:r>
          </w:p>
        </w:tc>
      </w:tr>
      <w:tr w:rsidR="00BB7AF6" w:rsidRPr="00EA51D0" w14:paraId="20F5D383"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67677DB8" w14:textId="77777777" w:rsidR="00BB7AF6" w:rsidRPr="00EA51D0" w:rsidRDefault="00BB7AF6" w:rsidP="00D82372">
            <w:pPr>
              <w:spacing w:after="0" w:line="240" w:lineRule="auto"/>
              <w:ind w:left="-138"/>
              <w:jc w:val="center"/>
              <w:rPr>
                <w:sz w:val="16"/>
                <w:szCs w:val="16"/>
              </w:rPr>
            </w:pPr>
            <w:r>
              <w:t>5 de julio de 2023 (Informe final para la renovación de la acreditación; resultado FAVORABLE)</w:t>
            </w:r>
          </w:p>
        </w:tc>
        <w:tc>
          <w:tcPr>
            <w:tcW w:w="2062" w:type="pct"/>
            <w:tcBorders>
              <w:top w:val="single" w:sz="4" w:space="0" w:color="auto"/>
              <w:left w:val="single" w:sz="4" w:space="0" w:color="auto"/>
              <w:bottom w:val="single" w:sz="4" w:space="0" w:color="auto"/>
              <w:right w:val="single" w:sz="4" w:space="0" w:color="auto"/>
            </w:tcBorders>
            <w:vAlign w:val="center"/>
            <w:hideMark/>
          </w:tcPr>
          <w:p w14:paraId="084EF887" w14:textId="77777777" w:rsidR="00BB7AF6" w:rsidRPr="00EA51D0" w:rsidRDefault="00BB7AF6" w:rsidP="00D82372">
            <w:pPr>
              <w:spacing w:after="0" w:line="240" w:lineRule="auto"/>
              <w:rPr>
                <w:i/>
                <w:sz w:val="16"/>
                <w:szCs w:val="16"/>
              </w:rPr>
            </w:pPr>
            <w:r w:rsidRPr="00EA51D0">
              <w:rPr>
                <w:i/>
                <w:sz w:val="16"/>
                <w:szCs w:val="16"/>
              </w:rPr>
              <w:t>Aspecto que debe ser subsanado (Criterio 1) [nº 1 en el autoinforme anterior]: Se debe publicar una descripción del perfil básico del profesorado.</w:t>
            </w:r>
          </w:p>
        </w:tc>
        <w:tc>
          <w:tcPr>
            <w:tcW w:w="2261" w:type="pct"/>
            <w:tcBorders>
              <w:top w:val="single" w:sz="4" w:space="0" w:color="auto"/>
              <w:left w:val="single" w:sz="4" w:space="0" w:color="auto"/>
              <w:bottom w:val="single" w:sz="4" w:space="0" w:color="auto"/>
              <w:right w:val="single" w:sz="4" w:space="0" w:color="auto"/>
            </w:tcBorders>
          </w:tcPr>
          <w:p w14:paraId="35F3DD6F" w14:textId="062BF69B" w:rsidR="00BB7AF6" w:rsidRPr="00EA51D0" w:rsidRDefault="00BB7AF6" w:rsidP="00D82372">
            <w:pPr>
              <w:spacing w:after="0" w:line="240" w:lineRule="auto"/>
              <w:rPr>
                <w:sz w:val="16"/>
                <w:szCs w:val="16"/>
              </w:rPr>
            </w:pPr>
            <w:r w:rsidRPr="00EA51D0">
              <w:rPr>
                <w:sz w:val="16"/>
                <w:szCs w:val="16"/>
              </w:rPr>
              <w:t>Acción de mejora: realizada en el curso 2023-24 (la web del título enlaza un documento con el perfil básico del profesorado); se mantiene la actualización anual con el profesorado del curso 2024-25 hasta que ACCUA la dé por cerrada.</w:t>
              <w:br/>
              <w:t>Evidencia: https://esingenieria.uca.es/wp-content/uploads/2025/02/GIA_Profesorado_2023_2024.pdf; [PENDIENTE: enlace a la versión 2024-25].</w:t>
            </w:r>
          </w:p>
        </w:tc>
      </w:tr>
      <w:tr w:rsidR="00BB7AF6" w:rsidRPr="00EA51D0" w14:paraId="2716FC2F"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tcPr>
          <w:p w14:paraId="11C01E29" w14:textId="77777777" w:rsidR="00BB7AF6" w:rsidRPr="00EA51D0" w:rsidRDefault="00BB7AF6" w:rsidP="00D82372">
            <w:pPr>
              <w:spacing w:after="0" w:line="240" w:lineRule="auto"/>
              <w:ind w:left="-138"/>
              <w:jc w:val="center"/>
              <w:rPr>
                <w:sz w:val="16"/>
                <w:szCs w:val="16"/>
              </w:rPr>
            </w:pPr>
            <w:r/>
          </w:p>
        </w:tc>
        <w:tc>
          <w:tcPr>
            <w:tcW w:w="2062" w:type="pct"/>
            <w:tcBorders>
              <w:top w:val="single" w:sz="4" w:space="0" w:color="auto"/>
              <w:left w:val="single" w:sz="4" w:space="0" w:color="auto"/>
              <w:bottom w:val="single" w:sz="4" w:space="0" w:color="auto"/>
              <w:right w:val="single" w:sz="4" w:space="0" w:color="auto"/>
            </w:tcBorders>
            <w:vAlign w:val="center"/>
            <w:hideMark/>
          </w:tcPr>
          <w:p w14:paraId="1251CF02" w14:textId="77777777" w:rsidR="00BB7AF6" w:rsidRPr="00EA51D0" w:rsidRDefault="00BB7AF6" w:rsidP="00D82372">
            <w:pPr>
              <w:spacing w:after="0" w:line="240" w:lineRule="auto"/>
              <w:rPr>
                <w:i/>
                <w:sz w:val="16"/>
                <w:szCs w:val="16"/>
              </w:rPr>
            </w:pPr>
            <w:r w:rsidRPr="00EA51D0">
              <w:rPr>
                <w:i/>
                <w:sz w:val="16"/>
                <w:szCs w:val="16"/>
              </w:rPr>
              <w:t>Aspecto que debe ser subsanado (Criterio 1) [nº 2 en el autoinforme anterior]: Se deben introducir mecanismos para que la página web cuente con mecanismos de accesibilidad para personas con diversidad funcional.</w:t>
            </w:r>
          </w:p>
        </w:tc>
        <w:tc>
          <w:tcPr>
            <w:tcW w:w="2261" w:type="pct"/>
            <w:tcBorders>
              <w:top w:val="single" w:sz="4" w:space="0" w:color="auto"/>
              <w:left w:val="single" w:sz="4" w:space="0" w:color="auto"/>
              <w:bottom w:val="single" w:sz="4" w:space="0" w:color="auto"/>
              <w:right w:val="single" w:sz="4" w:space="0" w:color="auto"/>
            </w:tcBorders>
          </w:tcPr>
          <w:p w14:paraId="167FFC32" w14:textId="77777777" w:rsidR="00BB7AF6" w:rsidRPr="00EA51D0" w:rsidRDefault="00BB7AF6" w:rsidP="00D82372">
            <w:pPr>
              <w:spacing w:after="0" w:line="240" w:lineRule="auto"/>
              <w:rPr>
                <w:sz w:val="16"/>
                <w:szCs w:val="16"/>
              </w:rPr>
            </w:pPr>
            <w:r w:rsidRPr="00EA51D0">
              <w:rPr>
                <w:sz w:val="16"/>
                <w:szCs w:val="16"/>
              </w:rPr>
              <w:t>Acción de mejora: en curso. Los sitios web de la UCA usan el tema UCA para WordPress, revisado según las directrices del Observatorio de Accesibilidad; en 2023-24 se celebraron reuniones con los gestores de la web. Queda revisar los contenidos propios del título (textos alternativos, documentos accesibles).</w:t>
              <w:br/>
              <w:t>Evidencia: [PENDIENTE: informe de revisión de accesibilidad de la web del título].</w:t>
            </w:r>
          </w:p>
        </w:tc>
      </w:tr>
      <w:tr>
        <w:tc>
          <w:tcPr>
            <w:tcW w:type="dxa" w:w="1354"/>
          </w:tcPr>
          <w:p>
            <w:r/>
          </w:p>
        </w:tc>
        <w:tc>
          <w:tcPr>
            <w:tcW w:type="dxa" w:w="4122"/>
          </w:tcPr>
          <w:p>
            <w:r>
              <w:t>Aspecto que debe ser subsanado (Criterio 1) [nº 3 en el autoinforme anterior]: Se deben incorporar a la Información Pública disponible datos de satisfacción de profesores y empleadores y mejorar las prospectivas a egresados.</w:t>
            </w:r>
          </w:p>
        </w:tc>
        <w:tc>
          <w:tcPr>
            <w:tcW w:type="dxa" w:w="4520"/>
          </w:tcPr>
          <w:p>
            <w:r>
              <w:t>Acción de mejora: en curso. La web del título publica los indicadores de satisfacción del profesorado (según el autoinforme anterior); falta incorporar datos de empleadores, que no se recogen todavía (ver subsanación nº 5).</w:t>
              <w:br/>
              <w:t>Evidencia: web del título, apartado de indicadores (https://esingenieria.uca.es/docencia/grados/gia/).</w:t>
            </w:r>
          </w:p>
        </w:tc>
      </w:tr>
      <w:tr>
        <w:tc>
          <w:tcPr>
            <w:tcW w:type="dxa" w:w="1354"/>
          </w:tcPr>
          <w:p>
            <w:r/>
          </w:p>
        </w:tc>
        <w:tc>
          <w:tcPr>
            <w:tcW w:type="dxa" w:w="4122"/>
          </w:tcPr>
          <w:p>
            <w:r>
              <w:t>Recomendación (Criterio 1) [nº 4 en el autoinforme anterior]: Se recomienda mejorar el acceso a la información a través de la web de la UCA haciéndolo más intuitivo.</w:t>
            </w:r>
          </w:p>
        </w:tc>
        <w:tc>
          <w:tcPr>
            <w:tcW w:type="dxa" w:w="4520"/>
          </w:tcPr>
          <w:p>
            <w:r>
              <w:t>Acción de mejora: en curso. La web del título se renovó y se mejora de forma continua; se revisarán los accesos a la información del SGC desde la web institucional.</w:t>
              <w:br/>
              <w:t>Evidencia: https://esingenieria.uca.es/docencia/grados/gia/; ISGC-P01-01 (3,45 sobre 5 en 2024-25).</w:t>
            </w:r>
          </w:p>
        </w:tc>
      </w:tr>
      <w:tr>
        <w:tc>
          <w:tcPr>
            <w:tcW w:type="dxa" w:w="1354"/>
          </w:tcPr>
          <w:p>
            <w:r/>
          </w:p>
        </w:tc>
        <w:tc>
          <w:tcPr>
            <w:tcW w:type="dxa" w:w="4122"/>
          </w:tcPr>
          <w:p>
            <w:r>
              <w:t>Aspecto que debe ser subsanado (Criterio 2) [nº 5 en el autoinforme anterior]: Se deben poner en marcha acciones para implantar, de manera efectiva, procedimientos para la realización de prospectivas y recogida de datos sistemática de empleadores (y aumentar las de egresados) y para tener en cuenta su opinión en la gestión, garantía de calidad del título y realimentación de actores de interés de la sociedad.</w:t>
            </w:r>
          </w:p>
        </w:tc>
        <w:tc>
          <w:tcPr>
            <w:tcW w:type="dxa" w:w="4520"/>
          </w:tcPr>
          <w:p>
            <w:r>
              <w:t>Acción de mejora: pendiente. Celebrar el encuentro anual con empleadores previsto en el P07 (apartado C), con acta y análisis en la CGC. Los egresados se miden mediante la encuesta de la UCA (participación del 36,36% en la cohorte 2023-24).</w:t>
              <w:br/>
              <w:t>Evidencia: [PENDIENTE: acta del encuentro con empleadores, si se ha celebrado].</w:t>
            </w:r>
          </w:p>
        </w:tc>
      </w:tr>
      <w:tr>
        <w:tc>
          <w:tcPr>
            <w:tcW w:type="dxa" w:w="1354"/>
          </w:tcPr>
          <w:p>
            <w:r/>
          </w:p>
        </w:tc>
        <w:tc>
          <w:tcPr>
            <w:tcW w:type="dxa" w:w="4122"/>
          </w:tcPr>
          <w:p>
            <w:r>
              <w:t>Recomendación (Criterio 2) [nº 6 en el autoinforme anterior]: Se recomienda seguir con las acciones para aportar las medidas del grado de satisfacción de los usuarios como son el número de encuestas y el tamaño de la población encuestada, atendiendo las recomendaciones del proceso de Acreditación anterior.</w:t>
            </w:r>
          </w:p>
        </w:tc>
        <w:tc>
          <w:tcPr>
            <w:tcW w:type="dxa" w:w="4520"/>
          </w:tcPr>
          <w:p>
            <w:r>
              <w:t>Acción de mejora: en curso. Este autoinforme indica las tasas de respuesta de alumnado, PDI y egresados (con número de encuestas y población en egresados) y se fomenta la participación (PD-ESI-1.1).</w:t>
              <w:br/>
              <w:t>Evidencia: Anexo 1 (ISGC-P07-01_01, P07-01_02 y P07-01_03).</w:t>
            </w:r>
          </w:p>
        </w:tc>
      </w:tr>
      <w:tr>
        <w:tc>
          <w:tcPr>
            <w:tcW w:type="dxa" w:w="1354"/>
          </w:tcPr>
          <w:p>
            <w:r/>
          </w:p>
        </w:tc>
        <w:tc>
          <w:tcPr>
            <w:tcW w:type="dxa" w:w="4122"/>
          </w:tcPr>
          <w:p>
            <w:r>
              <w:t>Aspecto que debe ser subsanado (Criterio 3) [nº 7 en el autoinforme anterior]: Se deben establecer procedimientos formales de coordinación del título y disponer de actas y acuerdos de las reuniones. Asimismo, se deben implementar nuevas acciones de mejora de la coordinación docente a la vista de la valoración de la misma por parte del estudiantado.</w:t>
            </w:r>
          </w:p>
        </w:tc>
        <w:tc>
          <w:tcPr>
            <w:tcW w:type="dxa" w:w="4520"/>
          </w:tcPr>
          <w:p>
            <w:r>
              <w:t>Acción de mejora: en curso (AM-ESI-3.1). Reuniones de coordinación horizontal y vertical por curso con acta, y curso de coordinación en el Campus Virtual con el profesorado coordinador.</w:t>
              <w:br/>
              <w:t>Evidencia: [PENDIENTE: actas de las reuniones de coordinación de 2024-25]; ISGC-P04-10 (2,75 sobre 5).</w:t>
            </w:r>
          </w:p>
        </w:tc>
      </w:tr>
      <w:tr>
        <w:tc>
          <w:tcPr>
            <w:tcW w:type="dxa" w:w="1354"/>
          </w:tcPr>
          <w:p>
            <w:r/>
          </w:p>
        </w:tc>
        <w:tc>
          <w:tcPr>
            <w:tcW w:type="dxa" w:w="4122"/>
          </w:tcPr>
          <w:p>
            <w:r>
              <w:t>Recomendación (Criterio 4) [nº 8 en el autoinforme anterior]: Se recomienda seguir potenciando la participación del profesorado en acciones formativas y proyectos de innovación y actividades de mejora docente.</w:t>
            </w:r>
          </w:p>
        </w:tc>
        <w:tc>
          <w:tcPr>
            <w:tcW w:type="dxa" w:w="4520"/>
          </w:tcPr>
          <w:p>
            <w:r>
              <w:t>Acción de mejora: en curso. Difusión de la oferta formativa y de las convocatorias de innovación en las reuniones de coordinación.</w:t>
              <w:br/>
              <w:t>Evidencia: ISGC-P05-02 (25,68%) e ISGC-P05-03 (41,89%) en 2024-25.</w:t>
            </w:r>
          </w:p>
        </w:tc>
      </w:tr>
      <w:tr>
        <w:tc>
          <w:tcPr>
            <w:tcW w:type="dxa" w:w="1354"/>
          </w:tcPr>
          <w:p>
            <w:r/>
          </w:p>
        </w:tc>
        <w:tc>
          <w:tcPr>
            <w:tcW w:type="dxa" w:w="4122"/>
          </w:tcPr>
          <w:p>
            <w:r>
              <w:t>Recomendación (Criterio 4) [nº 9 en el autoinforme anterior]: Se recomienda seguir con acciones para potenciar y favorecer el aumento del número de doctores y la dedicación a la investigación del profesorado, de manera que alcancen la obtención de mayor número de sexenios.</w:t>
            </w:r>
          </w:p>
        </w:tc>
        <w:tc>
          <w:tcPr>
            <w:tcW w:type="dxa" w:w="4520"/>
          </w:tcPr>
          <w:p>
            <w:r>
              <w:t>Acción de mejora: en curso, con evolución favorable: el profesorado doctor pasa del 66,67% (2020-21) al 77,03% (2024-25) y los sexenios de 38 a 71.</w:t>
              <w:br/>
              <w:t>Evidencia: ISGC-P05-01 (Anexo 2).</w:t>
            </w:r>
          </w:p>
        </w:tc>
      </w:tr>
      <w:tr>
        <w:tc>
          <w:tcPr>
            <w:tcW w:type="dxa" w:w="1354"/>
          </w:tcPr>
          <w:p>
            <w:r/>
          </w:p>
        </w:tc>
        <w:tc>
          <w:tcPr>
            <w:tcW w:type="dxa" w:w="4122"/>
          </w:tcPr>
          <w:p>
            <w:r>
              <w:t>Aspecto que debe ser subsanado (Criterio 5) [nº 10 en el autoinforme anterior]: Se deben poner en marcha acciones para incrementar las tasas de movilidad que es casi inexistente y mejorar la satisfacción de los estudiantes con la movilidad.</w:t>
            </w:r>
          </w:p>
        </w:tc>
        <w:tc>
          <w:tcPr>
            <w:tcW w:type="dxa" w:w="4520"/>
          </w:tcPr>
          <w:p>
            <w:r>
              <w:t>Acción de mejora: en curso (AM-ESI-5.1). Sesiones informativas del coordinador de movilidad con el estudiantado del título y revisión de destinos y reconocimientos.</w:t>
              <w:br/>
              <w:t>Evidencia: ISGC-P04-09 (saliente internacional 1,84%) e ISGC-P04-15 (2,56 sobre 5) en 2024-25.</w:t>
            </w:r>
          </w:p>
        </w:tc>
      </w:tr>
      <w:tr>
        <w:tc>
          <w:tcPr>
            <w:tcW w:type="dxa" w:w="1354"/>
          </w:tcPr>
          <w:p>
            <w:r/>
          </w:p>
        </w:tc>
        <w:tc>
          <w:tcPr>
            <w:tcW w:type="dxa" w:w="4122"/>
          </w:tcPr>
          <w:p>
            <w:r>
              <w:t>Aspecto que debe ser subsanado (Criterio 6) [nº 11 en el autoinforme anterior]: Se debe seguir con acciones de mejora, que sean eficaces, para aumentar la tasa de rendimiento del Trabajo Fin de Grado.</w:t>
            </w:r>
          </w:p>
        </w:tc>
        <w:tc>
          <w:tcPr>
            <w:tcW w:type="dxa" w:w="4520"/>
          </w:tcPr>
          <w:p>
            <w:r>
              <w:t>Acción de mejora: en curso (AM-ESI-6.1). Seguimiento del estudiantado matriculado en el TFG sin defensa y apoyo a la asignación de tutor.</w:t>
              <w:br/>
              <w:t>Evidencia: Anexo IV (TFG 2024-25: 48% de no presentados).</w:t>
            </w:r>
          </w:p>
        </w:tc>
      </w:tr>
      <w:tr>
        <w:tc>
          <w:tcPr>
            <w:tcW w:type="dxa" w:w="1354"/>
          </w:tcPr>
          <w:p>
            <w:r/>
          </w:p>
        </w:tc>
        <w:tc>
          <w:tcPr>
            <w:tcW w:type="dxa" w:w="4122"/>
          </w:tcPr>
          <w:p>
            <w:r>
              <w:t>Aspecto que debe ser subsanado (Criterio 6) [nº 12 en el autoinforme anterior]: Se deben poner en marcha acciones para reducir la duración media del estudio, adecuándolo a lo indicado en la memoria de verificación, y para evitar que, en algunos cursos académicos, las tasas de graduación se sitúen significativamente por debajo del valor marcado en la memoria.</w:t>
            </w:r>
          </w:p>
        </w:tc>
        <w:tc>
          <w:tcPr>
            <w:tcW w:type="dxa" w:w="4520"/>
          </w:tcPr>
          <w:p>
            <w:r>
              <w:t>Acción de mejora: en curso. Charlas informativas para que el estudiantado finalice los estudios antes de incorporarse al empleo (acción del plan anterior) y AM-ESI-6.1.</w:t>
              <w:br/>
              <w:t>Evidencia: ISGC-P04-05 (29,9%, objetivo 20±5%) e ISGC-P04-07 (6,4 años) en 2024-25; [PENDIENTE: registro de las charlas realizadas].</w:t>
            </w:r>
          </w:p>
        </w:tc>
      </w:tr>
      <w:tr>
        <w:tc>
          <w:tcPr>
            <w:tcW w:type="dxa" w:w="1354"/>
          </w:tcPr>
          <w:p>
            <w:r/>
          </w:p>
        </w:tc>
        <w:tc>
          <w:tcPr>
            <w:tcW w:type="dxa" w:w="4122"/>
          </w:tcPr>
          <w:p>
            <w:r>
              <w:t>Aspecto que debe ser subsanado (Criterio 7) [nº 13 en el autoinforme anterior]: Se deben implantar procedimientos institucionalizados de contacto, seguimiento de la actividad laboral y toma de opinión de empleadores y egresados para que su opinión pueda coadyuvar a la mejora continua de los programas formativos, prospectivas, planes de orientación, necesidades del título, etc.</w:t>
            </w:r>
          </w:p>
        </w:tc>
        <w:tc>
          <w:tcPr>
            <w:tcW w:type="dxa" w:w="4520"/>
          </w:tcPr>
          <w:p>
            <w:r>
              <w:t>Acción de mejora: pendiente para empleadores (ver nº 5); para egresados se dispone de la encuesta institucional por cohorte.</w:t>
              <w:br/>
              <w:t>Evidencia: ISGC-P07-01_03 a P07-10 (Anexo 1); [PENDIENTE: acta del encuentro con empleadores].</w:t>
            </w:r>
          </w:p>
        </w:tc>
      </w:tr>
      <w:tr>
        <w:tc>
          <w:tcPr>
            <w:tcW w:type="dxa" w:w="1354"/>
          </w:tcPr>
          <w:p>
            <w:r/>
          </w:p>
        </w:tc>
        <w:tc>
          <w:tcPr>
            <w:tcW w:type="dxa" w:w="4122"/>
          </w:tcPr>
          <w:p>
            <w:r>
              <w:t>Recomendación (Criterio 7) [nº 14 en el autoinforme anterior]: Se recomienda tomar en consideración las sugerencias de los egresados sobre optatividad y menciones indicadas en este apartado del informe.</w:t>
            </w:r>
          </w:p>
        </w:tc>
        <w:tc>
          <w:tcPr>
            <w:tcW w:type="dxa" w:w="4520"/>
          </w:tcPr>
          <w:p>
            <w:r>
              <w:t>Acción de mejora: en curso. La Dirección del centro mantiene reuniones sobre el catálogo de optativas y la estructura del título.</w:t>
              <w:br/>
              <w:t>Evidencia: [PENDIENTE: actas o propuesta de modificación resultante].</w:t>
            </w:r>
          </w:p>
        </w:tc>
      </w:tr>
      <w:tr>
        <w:tc>
          <w:tcPr>
            <w:tcW w:type="dxa" w:w="1354"/>
          </w:tcPr>
          <w:p>
            <w:r/>
          </w:p>
        </w:tc>
        <w:tc>
          <w:tcPr>
            <w:tcW w:type="dxa" w:w="4122"/>
          </w:tcPr>
          <w:p>
            <w:r>
              <w:t>Recomendación (Criterio 7) [nº 15 en el autoinforme anterior]: Se recomienda poner en marcha acciones para mejorar el grado de satisfacción del alumnado con los programas y actividades de apoyo y orientación académica y profesional y para que hagan uso de los recursos a su disposición.</w:t>
            </w:r>
          </w:p>
        </w:tc>
        <w:tc>
          <w:tcPr>
            <w:tcW w:type="dxa" w:w="4520"/>
          </w:tcPr>
          <w:p>
            <w:r>
              <w:t>Acción de mejora: en curso. Difusión de las actividades de orientación (PROA, ESI LAB, actividades científico-técnicas) en el curso del título del Campus Virtual.</w:t>
              <w:br/>
              <w:t>Evidencia: ISGC-P06-01 (2,94) e ISGC-P06-02 (2,60) en 2024-25.</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r w:rsidR="000A6DF3" w:rsidRPr="00EA51D0" w14:paraId="4CE3F94F" w14:textId="77777777" w:rsidTr="000A6DF3">
        <w:trPr>
          <w:jc w:val="center"/>
        </w:trPr>
        <w:tc>
          <w:tcPr>
            <w:tcW w:w="5000" w:type="pct"/>
            <w:shd w:val="clear" w:color="auto" w:fill="FFFFFF" w:themeFill="background1"/>
          </w:tcPr>
          <w:p w14:paraId="60E0351F" w14:textId="77777777" w:rsidR="000A6DF3" w:rsidRPr="00EA51D0" w:rsidRDefault="000A6DF3" w:rsidP="000A6DF3">
            <w:pPr>
              <w:pStyle w:val="Prrafodelista"/>
              <w:spacing w:before="60" w:after="60" w:line="240" w:lineRule="auto"/>
              <w:ind w:left="300"/>
              <w:contextualSpacing w:val="0"/>
              <w:rPr>
                <w:rFonts w:asciiTheme="minorHAnsi" w:hAnsiTheme="minorHAnsi" w:cstheme="minorHAnsi"/>
                <w:b/>
                <w:i/>
                <w:sz w:val="20"/>
                <w:szCs w:val="20"/>
              </w:rPr>
            </w:pPr>
          </w:p>
          <w:p w14:paraId="04730DC5" w14:textId="6CDC5D4E" w:rsidR="000A6DF3" w:rsidRPr="00EA51D0" w:rsidRDefault="00156EE2" w:rsidP="00CD7A9C">
            <w:pPr>
              <w:pStyle w:val="Prrafodelista"/>
              <w:spacing w:before="60" w:after="60" w:line="240" w:lineRule="auto"/>
              <w:ind w:left="300"/>
              <w:contextualSpacing w:val="0"/>
              <w:rPr>
                <w:rFonts w:asciiTheme="minorHAnsi" w:hAnsiTheme="minorHAnsi" w:cstheme="minorHAnsi"/>
                <w:b/>
                <w:i/>
                <w:sz w:val="20"/>
                <w:szCs w:val="20"/>
              </w:rPr>
            </w:pPr>
            <w:r w:rsidRPr="00EA51D0">
              <w:rPr>
                <w:rFonts w:asciiTheme="minorHAnsi" w:hAnsiTheme="minorHAnsi" w:cstheme="minorHAnsi"/>
                <w:bCs/>
                <w:i/>
                <w:color w:val="FF0000"/>
                <w:sz w:val="20"/>
                <w:szCs w:val="20"/>
              </w:rPr>
              <w:fldChar w:fldCharType="end"/>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14:paraId="34A81CEC" w14:textId="77777777" w:rsidR="000D730B" w:rsidRPr="00EA51D0" w:rsidRDefault="000D730B" w:rsidP="000D730B">
      <w:pPr>
        <w:spacing w:after="120" w:line="240" w:lineRule="auto"/>
        <w:ind w:left="360"/>
        <w:contextualSpacing/>
        <w:jc w:val="both"/>
        <w:rPr>
          <w:rFonts w:asciiTheme="minorHAnsi" w:hAnsiTheme="minorHAnsi"/>
          <w:sz w:val="20"/>
          <w:szCs w:val="20"/>
        </w:rPr>
      </w:pPr>
      <w:r w:rsidRPr="00EA51D0">
        <w:rPr>
          <w:rFonts w:asciiTheme="minorHAnsi" w:hAnsiTheme="minorHAnsi"/>
          <w:sz w:val="20"/>
          <w:szCs w:val="20"/>
        </w:rPr>
        <w:t xml:space="preserve">El desarrollo del plan de estudios, conforme a la memoria verificada </w:t>
      </w:r>
      <w:r w:rsidRPr="00EA51D0">
        <w:rPr>
          <w:rFonts w:asciiTheme="minorHAnsi" w:hAnsiTheme="minorHAnsi" w:cstheme="minorHAnsi"/>
          <w:bCs/>
          <w:sz w:val="20"/>
          <w:szCs w:val="20"/>
        </w:rPr>
        <w:t>(</w:t>
      </w:r>
      <w:hyperlink r:id="rId17" w:history="1">
        <w:r w:rsidRPr="00EA51D0">
          <w:rPr>
            <w:rStyle w:val="Hipervnculo"/>
            <w:rFonts w:asciiTheme="minorHAnsi" w:hAnsiTheme="minorHAnsi" w:cstheme="minorHAnsi"/>
            <w:bCs/>
            <w:color w:val="0563C1"/>
            <w:sz w:val="20"/>
            <w:szCs w:val="20"/>
          </w:rPr>
          <w:t>https://esingenieria.uca.es/docencia/grados/gia/</w:t>
        </w:r>
      </w:hyperlink>
      <w:r w:rsidRPr="00EA51D0">
        <w:rPr>
          <w:rFonts w:asciiTheme="minorHAnsi" w:hAnsiTheme="minorHAnsi" w:cstheme="minorHAnsi"/>
          <w:bCs/>
          <w:sz w:val="20"/>
          <w:szCs w:val="20"/>
        </w:rPr>
        <w:t>)</w:t>
      </w:r>
      <w:r w:rsidRPr="00EA51D0">
        <w:rPr>
          <w:rFonts w:asciiTheme="minorHAnsi" w:hAnsiTheme="minorHAnsi"/>
          <w:sz w:val="20"/>
          <w:szCs w:val="20"/>
        </w:rPr>
        <w:t xml:space="preserve">, es adecuado, coherente y no se han producido incidencias significativas, lo que ha permitido una correcta adquisición de las competencias por parte de los estudiantes. Este hecho se ve confirmado por los informes de seguimiento </w:t>
      </w:r>
      <w:r w:rsidRPr="00EA51D0">
        <w:rPr>
          <w:rFonts w:asciiTheme="minorHAnsi" w:hAnsiTheme="minorHAnsi" w:cstheme="minorHAnsi"/>
          <w:bCs/>
          <w:sz w:val="20"/>
          <w:szCs w:val="20"/>
        </w:rPr>
        <w:t>(</w:t>
      </w:r>
      <w:hyperlink r:id="rId18" w:history="1">
        <w:r w:rsidRPr="00EA51D0">
          <w:rPr>
            <w:rStyle w:val="Hipervnculo"/>
            <w:rFonts w:asciiTheme="minorHAnsi" w:hAnsiTheme="minorHAnsi" w:cstheme="minorHAnsi"/>
            <w:bCs/>
            <w:color w:val="0563C1"/>
            <w:sz w:val="20"/>
            <w:szCs w:val="20"/>
          </w:rPr>
          <w:t>https://ws262.juntadeandalucia.es/accua/?id=informestitulos</w:t>
        </w:r>
      </w:hyperlink>
      <w:r w:rsidRPr="00EA51D0">
        <w:rPr>
          <w:rFonts w:asciiTheme="minorHAnsi" w:hAnsiTheme="minorHAnsi" w:cstheme="minorHAnsi"/>
          <w:bCs/>
          <w:sz w:val="20"/>
          <w:szCs w:val="20"/>
        </w:rPr>
        <w:t>)</w:t>
      </w:r>
      <w:r w:rsidRPr="00EA51D0">
        <w:rPr>
          <w:rFonts w:asciiTheme="minorHAnsi" w:hAnsiTheme="minorHAnsi"/>
          <w:sz w:val="20"/>
          <w:szCs w:val="20"/>
        </w:rPr>
        <w:t>.</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El plan de estudios se desarrolla conforme a la memoria verificada, con dos menciones (Aeronaves y Equipos y Materiales Aeroespaciales), y habilita para la profesión regulada de Ingeniero Técnico Aeronáutico (Orden CIN/308/2009). En la documentación aportada no consta ninguna modificación de la memoria tramitada en 2024-25 [PENDIENTE: confirmar].</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CGC revisa el diseño del título en cada autoinforme. Las sugerencias de los egresados sobre optatividad y menciones (recomendación nº 14 de ACCUA) se están analizando desde la Dirección del centro.</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19CC45B8" w14:textId="77777777" w:rsidR="000D730B" w:rsidRPr="00EA51D0" w:rsidRDefault="000D730B" w:rsidP="000D730B">
      <w:pPr>
        <w:spacing w:after="0" w:line="240" w:lineRule="auto"/>
        <w:ind w:firstLine="360"/>
        <w:jc w:val="both"/>
        <w:rPr>
          <w:rFonts w:cs="Calibri"/>
          <w:color w:val="00B0F0"/>
          <w:sz w:val="20"/>
          <w:szCs w:val="20"/>
        </w:rPr>
      </w:pPr>
      <w:r w:rsidRPr="00EA51D0">
        <w:rPr>
          <w:rFonts w:cs="Calibri"/>
          <w:sz w:val="20"/>
          <w:szCs w:val="20"/>
        </w:rPr>
        <w:t xml:space="preserve">Las modalidades de impartición del título se corresponden con la memoria verificada </w:t>
      </w:r>
      <w:r w:rsidRPr="00EA51D0">
        <w:rPr>
          <w:rFonts w:cs="Calibri"/>
          <w:color w:val="FF0000"/>
          <w:sz w:val="20"/>
          <w:szCs w:val="20"/>
        </w:rPr>
      </w:r>
      <w:r w:rsidRPr="00EA51D0">
        <w:rPr>
          <w:rFonts w:cs="Calibri"/>
          <w:color w:val="00B0F0"/>
          <w:sz w:val="20"/>
          <w:szCs w:val="20"/>
        </w:rPr>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El título se imparte solo en modalidad presencial, como establece la memoria verificada, por lo que no procede la coordinación entre modalidades.</w:t>
      </w:r>
    </w:p>
    <w:p w14:paraId="4C9B6328" w14:textId="77777777" w:rsidR="000D730B" w:rsidRPr="00EA51D0" w:rsidRDefault="000D730B" w:rsidP="000D730B">
      <w:pPr>
        <w:spacing w:after="0" w:line="240" w:lineRule="auto"/>
        <w:jc w:val="both"/>
        <w:rPr>
          <w:rFonts w:cs="Calibri"/>
          <w:sz w:val="20"/>
          <w:szCs w:val="20"/>
        </w:rPr>
      </w:pPr>
    </w:p>
    <w:p w14:paraId="0037E208" w14:textId="77777777" w:rsidR="000D730B" w:rsidRPr="00EA51D0" w:rsidRDefault="000D730B" w:rsidP="000D730B">
      <w:pPr>
        <w:spacing w:after="0" w:line="240" w:lineRule="auto"/>
        <w:ind w:left="360"/>
        <w:jc w:val="both"/>
        <w:rPr>
          <w:rFonts w:cs="Calibri"/>
          <w:color w:val="00B0F0"/>
          <w:sz w:val="20"/>
          <w:szCs w:val="20"/>
        </w:rPr>
      </w:pPr>
      <w:r w:rsidRPr="00EA51D0">
        <w:rPr>
          <w:rFonts w:asciiTheme="minorHAnsi" w:hAnsiTheme="minorHAnsi"/>
          <w:color w:val="FF0000"/>
          <w:sz w:val="20"/>
          <w:szCs w:val="20"/>
          <w:shd w:val="clear" w:color="auto" w:fill="FFFFFF"/>
        </w:rPr>
      </w:r>
      <w:r w:rsidRPr="00EA51D0">
        <w:rPr>
          <w:rFonts w:cs="Calibri"/>
          <w:sz w:val="20"/>
          <w:szCs w:val="20"/>
        </w:rPr>
        <w:t>el título se imparte en varias modalidades de enseñanza, y posee coordinación docente entre las diferentes modalidades al objeto de que la adquisición de competencias y los resultados de aprendizaje sean homogéneos en todas las modalidades implicadas.</w:t>
      </w: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14:paraId="01AECD14"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Respecto a la gestión de los TFG/TFM, estos son lo suficientemente ágiles y transparentes como para permitir la finalización de la Titulación en los plazos proyectados. Ello incluye aspectos diversos tales como los criterios de selección de TFG/TFM, listado de la oferta de TFG/TFM, por parte de los tutores, la asignación de tutores, temáticas de referencia, matriculación, sistemas de adscripción del alumnado a un/a tutor/a, mecanismos de elección de temática, calendario de ejecución del TFM, convocatorias de defensa pública, etc. Para nuestro </w:t>
      </w:r>
      <w:r w:rsidRPr="00EA51D0">
        <w:rPr>
          <w:rFonts w:asciiTheme="minorHAnsi" w:hAnsiTheme="minorHAnsi" w:cstheme="minorHAnsi"/>
          <w:sz w:val="20"/>
          <w:szCs w:val="20"/>
        </w:rPr>
        <w:t>centro, la Escuela Superior de Ingeniería</w:t>
      </w:r>
      <w:r w:rsidRPr="00EA51D0">
        <w:rPr>
          <w:rFonts w:asciiTheme="minorHAnsi" w:hAnsiTheme="minorHAnsi" w:cstheme="minorHAnsi"/>
          <w:sz w:val="20"/>
          <w:szCs w:val="20"/>
        </w:rPr>
        <w:t>, la normativa de los TFG/TFM aplicables es la indicada a continuación a nivel UCA (</w:t>
      </w:r>
      <w:hyperlink r:id="rId21" w:history="1">
        <w:r w:rsidRPr="00EA51D0">
          <w:rPr>
            <w:rStyle w:val="Hipervnculo"/>
            <w:sz w:val="20"/>
            <w:szCs w:val="20"/>
          </w:rPr>
          <w:t>Reglamento marco UCA/CG07/2012, de trabajos fin de grado y fin de máster de la Universidad de Cádiz</w:t>
        </w:r>
      </w:hyperlink>
      <w:r w:rsidRPr="00EA51D0">
        <w:rPr>
          <w:rFonts w:asciiTheme="minorHAnsi" w:hAnsiTheme="minorHAnsi" w:cstheme="minorHAnsi"/>
          <w:sz w:val="20"/>
          <w:szCs w:val="20"/>
        </w:rPr>
        <w:t xml:space="preserve">), y a nivel centro </w:t>
      </w:r>
      <w:r w:rsidRPr="00EA51D0">
        <w:rPr>
          <w:rFonts w:asciiTheme="minorHAnsi" w:hAnsiTheme="minorHAnsi" w:cstheme="minorHAnsi"/>
          <w:bCs/>
          <w:sz w:val="20"/>
          <w:szCs w:val="20"/>
        </w:rPr>
        <w:t>(</w:t>
      </w:r>
      <w:hyperlink r:id="rId22" w:history="1">
        <w:r w:rsidRPr="00EA51D0">
          <w:rPr>
            <w:rStyle w:val="Hipervnculo"/>
            <w:rFonts w:asciiTheme="minorHAnsi" w:hAnsiTheme="minorHAnsi" w:cstheme="minorHAnsi"/>
            <w:bCs/>
            <w:color w:val="0563C1"/>
            <w:sz w:val="20"/>
            <w:szCs w:val="20"/>
          </w:rPr>
          <w:t>https://tfgm.uca.es/</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sidRPr="00EA51D0">
        <w:rPr>
          <w:rFonts w:asciiTheme="minorHAnsi" w:hAnsiTheme="minorHAnsi" w:cstheme="minorHAnsi"/>
          <w:sz w:val="20"/>
          <w:szCs w:val="20"/>
        </w:rPr>
        <w:t xml:space="preserve">Así mismo, los estudiantes tienen que superar cada curso académico un número de créditos para poder continuar sus estudios. Esto se describe en la </w:t>
      </w:r>
      <w:hyperlink r:id="rId24" w:history="1">
        <w:r w:rsidRPr="00EA51D0">
          <w:rPr>
            <w:rStyle w:val="Hipervnculo"/>
            <w:rFonts w:asciiTheme="minorHAnsi" w:hAnsiTheme="minorHAnsi" w:cstheme="minorHAnsi"/>
            <w:sz w:val="20"/>
            <w:szCs w:val="20"/>
          </w:rPr>
          <w:t>web de la oficina del estudiante</w:t>
        </w:r>
      </w:hyperlink>
      <w:r w:rsidRPr="00EA51D0">
        <w:rPr>
          <w:rStyle w:val="markedcontent"/>
          <w:rFonts w:asciiTheme="minorHAnsi" w:hAnsiTheme="minorHAnsi" w:cstheme="minorHAnsi"/>
          <w:sz w:val="20"/>
          <w:szCs w:val="20"/>
        </w:rPr>
        <w:t xml:space="preserve">, en el </w:t>
      </w:r>
      <w:hyperlink r:id="rId25" w:history="1">
        <w:r w:rsidRPr="00EA51D0">
          <w:rPr>
            <w:rStyle w:val="Hipervnculo"/>
            <w:rFonts w:asciiTheme="minorHAnsi" w:hAnsiTheme="minorHAnsi" w:cstheme="minorHAnsi"/>
            <w:sz w:val="20"/>
            <w:szCs w:val="20"/>
          </w:rPr>
          <w:t>Reglamento por el que se establecen las normas de Progreso y Permanencia para los estudios oficiales de Grado en la Universidad de Cádiz</w:t>
        </w:r>
      </w:hyperlink>
      <w:r w:rsidRPr="00EA51D0">
        <w:rPr>
          <w:rStyle w:val="markedcontent"/>
          <w:rFonts w:asciiTheme="minorHAnsi" w:hAnsiTheme="minorHAnsi" w:cstheme="minorHAnsi"/>
          <w:sz w:val="20"/>
          <w:szCs w:val="20"/>
        </w:rPr>
        <w:t xml:space="preserve"> y en el </w:t>
      </w:r>
      <w:hyperlink r:id="rId26" w:history="1">
        <w:r w:rsidRPr="00EA51D0">
          <w:rPr>
            <w:rStyle w:val="Hipervnculo"/>
            <w:rFonts w:asciiTheme="minorHAnsi" w:hAnsiTheme="minorHAnsi" w:cstheme="minorHAnsi"/>
            <w:sz w:val="20"/>
            <w:szCs w:val="20"/>
          </w:rPr>
          <w:t>Reglamento por el que se establecen las Normas de Progreso y Permanencia para los estudios oficiales de Máster en la Universidad de Cádiz</w:t>
        </w:r>
      </w:hyperlink>
      <w:r w:rsidRPr="00EA51D0">
        <w:rPr>
          <w:rFonts w:asciiTheme="minorHAnsi" w:hAnsiTheme="minorHAnsi" w:cstheme="minorHAnsi"/>
          <w:sz w:val="20"/>
          <w:szCs w:val="20"/>
        </w:rPr>
        <w:t>.</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Reconocimiento de créditos: en 2023-24 se reconocieron 546 créditos a 12 estudiantes (autoinforme 2023-24). El dato de 2024-25 no está en LinceBI: [PENDIENTE: créditos reconocidos y número de estudiantes en 2024-25, que debe facilitar la Secretaría del centro].</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TFG: la ESI gestiona la oferta de temas, la asignación de tutores y el depósito con la aplicación https://tfgm.uca.es/ y programa convocatorias de defensa mensuales, lo que facilita terminar los estudios a lo largo del curso. Aun así, en 2024-25 el 48% del estudiantado matriculado en el TFG no se presentó (Anexo IV), lo que retrasa la graduación (PD-ESI-6.1).</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14:paraId="23E6AF27" w14:textId="4E0E8427" w:rsidR="003017E9" w:rsidRPr="00EA51D0" w:rsidRDefault="003017E9" w:rsidP="003017E9">
      <w:pPr>
        <w:pStyle w:val="AGAETexto"/>
        <w:spacing w:before="0" w:after="0" w:line="240" w:lineRule="auto"/>
        <w:ind w:left="360"/>
        <w:rPr>
          <w:rFonts w:asciiTheme="minorHAnsi" w:hAnsiTheme="minorHAnsi" w:cstheme="minorHAnsi"/>
          <w:sz w:val="20"/>
          <w:szCs w:val="20"/>
        </w:rPr>
      </w:pPr>
      <w:r w:rsidRPr="00EA51D0">
        <w:rPr>
          <w:rFonts w:asciiTheme="minorHAnsi" w:hAnsiTheme="minorHAnsi" w:cstheme="minorHAnsi"/>
          <w:sz w:val="20"/>
          <w:szCs w:val="20"/>
        </w:rPr>
        <w:t xml:space="preserve">El número de estudiantes de nuevo ingreso se corresponde con lo establecido en la Memoria verificada. El perfil del estudiante de ingreso del título </w:t>
      </w:r>
      <w:r w:rsidRPr="00EA51D0">
        <w:rPr>
          <w:rFonts w:asciiTheme="minorHAnsi" w:hAnsiTheme="minorHAnsi" w:cstheme="minorHAnsi"/>
          <w:bCs/>
          <w:sz w:val="20"/>
          <w:szCs w:val="20"/>
        </w:rPr>
        <w:t>(</w:t>
      </w:r>
      <w:hyperlink r:id="rId27" w:history="1">
        <w:r w:rsidRPr="00EA51D0">
          <w:rPr>
            <w:rStyle w:val="Hipervnculo"/>
            <w:rFonts w:asciiTheme="minorHAnsi" w:hAnsiTheme="minorHAnsi" w:cstheme="minorHAnsi"/>
            <w:bCs/>
            <w:color w:val="0563C1"/>
            <w:sz w:val="20"/>
            <w:szCs w:val="20"/>
          </w:rPr>
          <w:t>https://esingenieria.uca.es/docencia/grados/gia/</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y los criterios de acceso y admisión </w:t>
      </w:r>
      <w:r w:rsidRPr="00EA51D0">
        <w:rPr>
          <w:rFonts w:asciiTheme="minorHAnsi" w:hAnsiTheme="minorHAnsi" w:cstheme="minorHAnsi"/>
          <w:bCs/>
          <w:sz w:val="20"/>
          <w:szCs w:val="20"/>
        </w:rPr>
        <w:t>(</w:t>
      </w:r>
      <w:hyperlink r:id="rId28" w:history="1">
        <w:r w:rsidRPr="00EA51D0">
          <w:rPr>
            <w:rStyle w:val="Hipervnculo"/>
            <w:rFonts w:asciiTheme="minorHAnsi" w:hAnsiTheme="minorHAnsi" w:cstheme="minorHAnsi"/>
            <w:bCs/>
            <w:color w:val="0563C1"/>
            <w:sz w:val="20"/>
            <w:szCs w:val="20"/>
          </w:rPr>
          <w:t>https://esingenieria.uca.es/docencia/grados/gia/</w:t>
        </w:r>
      </w:hyperlink>
      <w:r w:rsidR="007E6F3D" w:rsidRPr="00EA51D0">
        <w:rPr>
          <w:rStyle w:val="Hipervnculo"/>
          <w:rFonts w:asciiTheme="minorHAnsi" w:hAnsiTheme="minorHAnsi" w:cstheme="minorHAnsi"/>
          <w:bCs/>
          <w:sz w:val="20"/>
          <w:szCs w:val="20"/>
        </w:rPr>
        <w:t>; Real Decreto 534/2024</w:t>
      </w:r>
      <w:r w:rsidRPr="00EA51D0">
        <w:rPr>
          <w:rFonts w:asciiTheme="minorHAnsi" w:hAnsiTheme="minorHAnsi" w:cstheme="minorHAnsi"/>
          <w:bCs/>
          <w:sz w:val="20"/>
          <w:szCs w:val="20"/>
        </w:rPr>
        <w:t xml:space="preserve">) los cuales son </w:t>
      </w:r>
      <w:r w:rsidRPr="00EA51D0">
        <w:rPr>
          <w:rFonts w:asciiTheme="minorHAnsi" w:hAnsiTheme="minorHAnsi" w:cstheme="minorHAnsi"/>
          <w:sz w:val="20"/>
          <w:szCs w:val="20"/>
        </w:rPr>
        <w:t xml:space="preserve">coherentes con la tipología de la titulación de referencia, se ajustan a la tipología de la titulación y no generan disfuncionalidades en el desarrollo de la misma, y garantizan la adquisición de las competencias establecidas por el Título. </w:t>
      </w:r>
      <w:r w:rsidRPr="00EA51D0">
        <w:rPr>
          <w:rFonts w:asciiTheme="minorHAnsi" w:hAnsiTheme="minorHAnsi" w:cstheme="minorHAnsi"/>
          <w:color w:val="00B0F0"/>
          <w:sz w:val="20"/>
          <w:szCs w:val="20"/>
        </w:rPr>
      </w:r>
      <w:r w:rsidRPr="00EA51D0">
        <w:rPr>
          <w:rFonts w:asciiTheme="minorHAnsi" w:hAnsiTheme="minorHAnsi" w:cstheme="minorHAnsi"/>
          <w:sz w:val="20"/>
          <w:szCs w:val="20"/>
        </w:rPr>
        <w:t xml:space="preserve">Asimismo, contamos con información previa a la matriculación </w:t>
      </w:r>
      <w:r w:rsidRPr="00EA51D0">
        <w:rPr>
          <w:rFonts w:asciiTheme="minorHAnsi" w:hAnsiTheme="minorHAnsi" w:cstheme="minorHAnsi"/>
          <w:bCs/>
          <w:sz w:val="20"/>
          <w:szCs w:val="20"/>
        </w:rPr>
        <w:t>(</w:t>
      </w:r>
      <w:hyperlink r:id="rId29" w:history="1">
        <w:r w:rsidRPr="00EA51D0">
          <w:rPr>
            <w:rStyle w:val="Hipervnculo"/>
            <w:rFonts w:asciiTheme="minorHAnsi" w:hAnsiTheme="minorHAnsi" w:cstheme="minorHAnsi"/>
            <w:bCs/>
            <w:color w:val="0563C1"/>
            <w:sz w:val="20"/>
            <w:szCs w:val="20"/>
          </w:rPr>
          <w:t>https://esingenieria.uca.es/docencia/grados/gia/</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información dirigida a estudiantes de nuevo ingreso </w:t>
      </w:r>
      <w:r w:rsidRPr="00EA51D0">
        <w:rPr>
          <w:rFonts w:asciiTheme="minorHAnsi" w:hAnsiTheme="minorHAnsi" w:cstheme="minorHAnsi"/>
          <w:bCs/>
          <w:sz w:val="20"/>
          <w:szCs w:val="20"/>
        </w:rPr>
        <w:t>(</w:t>
      </w:r>
      <w:hyperlink r:id="rId30" w:history="1">
        <w:r w:rsidRPr="00EA51D0">
          <w:rPr>
            <w:rStyle w:val="Hipervnculo"/>
            <w:rFonts w:asciiTheme="minorHAnsi" w:hAnsiTheme="minorHAnsi" w:cstheme="minorHAnsi"/>
            <w:bCs/>
            <w:color w:val="0563C1"/>
            <w:sz w:val="20"/>
            <w:szCs w:val="20"/>
          </w:rPr>
          <w:t>https://esingenieria.uca.es/docencia/grados/gia/</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 xml:space="preserve"> e información sobre apoyo y orientación para los estudiantes una vez matriculados </w:t>
      </w:r>
      <w:r w:rsidRPr="00EA51D0">
        <w:rPr>
          <w:rFonts w:asciiTheme="minorHAnsi" w:hAnsiTheme="minorHAnsi" w:cstheme="minorHAnsi"/>
          <w:bCs/>
          <w:sz w:val="20"/>
          <w:szCs w:val="20"/>
        </w:rPr>
        <w:t>(</w:t>
      </w:r>
      <w:hyperlink r:id="rId31" w:history="1">
        <w:r w:rsidRPr="00EA51D0">
          <w:rPr>
            <w:rStyle w:val="Hipervnculo"/>
            <w:rFonts w:asciiTheme="minorHAnsi" w:hAnsiTheme="minorHAnsi" w:cstheme="minorHAnsi"/>
            <w:bCs/>
            <w:color w:val="0563C1"/>
            <w:sz w:val="20"/>
            <w:szCs w:val="20"/>
          </w:rPr>
          <w:t>https://esingenieria.uca.es/docencia/grados/gia/</w:t>
        </w:r>
      </w:hyperlink>
      <w:r w:rsidRPr="00EA51D0">
        <w:rPr>
          <w:rFonts w:asciiTheme="minorHAnsi" w:hAnsiTheme="minorHAnsi" w:cstheme="minorHAnsi"/>
          <w:bCs/>
          <w:sz w:val="20"/>
          <w:szCs w:val="20"/>
        </w:rPr>
        <w:t>)</w:t>
      </w:r>
      <w:r w:rsidRPr="00EA51D0">
        <w:rPr>
          <w:rFonts w:asciiTheme="minorHAnsi" w:hAnsiTheme="minorHAnsi" w:cstheme="minorHAnsi"/>
          <w:sz w:val="20"/>
          <w:szCs w:val="20"/>
        </w:rPr>
        <w:t>.</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En 2024-25 el título ofertó 70 plazas y matriculó a 71 estudiantes de nuevo ingreso (tasa de ocupación, ISGC-P04-17: 97,14%). La demanda sigue siendo muy alta: la tasa de preferencia (ISGC-P04-18) es del 292,86%, muy por encima del centro (173,54%) y la UCA (152,97%); la nota de corte fue de 12,274 y la nota media de acceso, de 12,735.</w:t>
      </w:r>
    </w:p>
    <w:tbl>
      <w:tblPr>
        <w:tblStyle w:val="Tablaconcuadrcula"/>
        <w:tblW w:type="auto" w:w="0"/>
        <w:tblLook w:firstColumn="1" w:firstRow="1" w:lastColumn="0" w:lastRow="0" w:noHBand="0" w:noVBand="1" w:val="04A0"/>
      </w:tblPr>
      <w:tblGrid>
        <w:gridCol w:w="4857"/>
        <w:gridCol w:w="4857"/>
        <w:gridCol w:w="4857"/>
      </w:tblGrid>
      <w:tr>
        <w:tc>
          <w:tcPr>
            <w:tcW w:type="dxa" w:w="4857"/>
          </w:tcPr>
          <w:p>
            <w:r>
              <w:rPr>
                <w:b/>
              </w:rPr>
              <w:t>Perfil de ingreso</w:t>
            </w:r>
          </w:p>
        </w:tc>
        <w:tc>
          <w:tcPr>
            <w:tcW w:type="dxa" w:w="4857"/>
          </w:tcPr>
          <w:p>
            <w:r>
              <w:rPr>
                <w:b/>
              </w:rPr>
              <w:t>2023-24</w:t>
            </w:r>
          </w:p>
        </w:tc>
        <w:tc>
          <w:tcPr>
            <w:tcW w:type="dxa" w:w="4857"/>
          </w:tcPr>
          <w:p>
            <w:r>
              <w:rPr>
                <w:b/>
              </w:rPr>
              <w:t>2024-25</w:t>
            </w:r>
          </w:p>
        </w:tc>
      </w:tr>
      <w:tr>
        <w:tc>
          <w:tcPr>
            <w:tcW w:type="dxa" w:w="4857"/>
          </w:tcPr>
          <w:p>
            <w:r>
              <w:t>Plazas ofertadas</w:t>
            </w:r>
          </w:p>
        </w:tc>
        <w:tc>
          <w:tcPr>
            <w:tcW w:type="dxa" w:w="4857"/>
          </w:tcPr>
          <w:p>
            <w:r>
              <w:t>70</w:t>
            </w:r>
          </w:p>
        </w:tc>
        <w:tc>
          <w:tcPr>
            <w:tcW w:type="dxa" w:w="4857"/>
          </w:tcPr>
          <w:p>
            <w:r>
              <w:t>70</w:t>
            </w:r>
          </w:p>
        </w:tc>
      </w:tr>
      <w:tr>
        <w:tc>
          <w:tcPr>
            <w:tcW w:type="dxa" w:w="4857"/>
          </w:tcPr>
          <w:p>
            <w:r>
              <w:t>Estudiantes de nuevo ingreso</w:t>
            </w:r>
          </w:p>
        </w:tc>
        <w:tc>
          <w:tcPr>
            <w:tcW w:type="dxa" w:w="4857"/>
          </w:tcPr>
          <w:p>
            <w:r>
              <w:t>75</w:t>
            </w:r>
          </w:p>
        </w:tc>
        <w:tc>
          <w:tcPr>
            <w:tcW w:type="dxa" w:w="4857"/>
          </w:tcPr>
          <w:p>
            <w:r>
              <w:t>71</w:t>
            </w:r>
          </w:p>
        </w:tc>
      </w:tr>
      <w:tr>
        <w:tc>
          <w:tcPr>
            <w:tcW w:type="dxa" w:w="4857"/>
          </w:tcPr>
          <w:p>
            <w:r>
              <w:t>Tasa de ocupación (ISGC-P04-17)</w:t>
            </w:r>
          </w:p>
        </w:tc>
        <w:tc>
          <w:tcPr>
            <w:tcW w:type="dxa" w:w="4857"/>
          </w:tcPr>
          <w:p>
            <w:r>
              <w:t>107,14%</w:t>
            </w:r>
          </w:p>
        </w:tc>
        <w:tc>
          <w:tcPr>
            <w:tcW w:type="dxa" w:w="4857"/>
          </w:tcPr>
          <w:p>
            <w:r>
              <w:t>97,14%</w:t>
            </w:r>
          </w:p>
        </w:tc>
      </w:tr>
      <w:tr>
        <w:tc>
          <w:tcPr>
            <w:tcW w:type="dxa" w:w="4857"/>
          </w:tcPr>
          <w:p>
            <w:r>
              <w:t>Tasa de preferencia (ISGC-P04-18)</w:t>
            </w:r>
          </w:p>
        </w:tc>
        <w:tc>
          <w:tcPr>
            <w:tcW w:type="dxa" w:w="4857"/>
          </w:tcPr>
          <w:p>
            <w:r>
              <w:t>334,29%</w:t>
            </w:r>
          </w:p>
        </w:tc>
        <w:tc>
          <w:tcPr>
            <w:tcW w:type="dxa" w:w="4857"/>
          </w:tcPr>
          <w:p>
            <w:r>
              <w:t>292,86%</w:t>
            </w:r>
          </w:p>
        </w:tc>
      </w:tr>
      <w:tr>
        <w:tc>
          <w:tcPr>
            <w:tcW w:type="dxa" w:w="4857"/>
          </w:tcPr>
          <w:p>
            <w:r>
              <w:t>Tasa de adecuación (ISGC-P04-16)</w:t>
            </w:r>
          </w:p>
        </w:tc>
        <w:tc>
          <w:tcPr>
            <w:tcW w:type="dxa" w:w="4857"/>
          </w:tcPr>
          <w:p>
            <w:r>
              <w:t>49,33%</w:t>
            </w:r>
          </w:p>
        </w:tc>
        <w:tc>
          <w:tcPr>
            <w:tcW w:type="dxa" w:w="4857"/>
          </w:tcPr>
          <w:p>
            <w:r>
              <w:t>50%</w:t>
            </w:r>
          </w:p>
        </w:tc>
      </w:tr>
      <w:tr>
        <w:tc>
          <w:tcPr>
            <w:tcW w:type="dxa" w:w="4857"/>
          </w:tcPr>
          <w:p>
            <w:r>
              <w:t>Nota de corte</w:t>
            </w:r>
          </w:p>
        </w:tc>
        <w:tc>
          <w:tcPr>
            <w:tcW w:type="dxa" w:w="4857"/>
          </w:tcPr>
          <w:p>
            <w:r>
              <w:t>12,168</w:t>
            </w:r>
          </w:p>
        </w:tc>
        <w:tc>
          <w:tcPr>
            <w:tcW w:type="dxa" w:w="4857"/>
          </w:tcPr>
          <w:p>
            <w:r>
              <w:t>12,274</w:t>
            </w:r>
          </w:p>
        </w:tc>
      </w:tr>
      <w:tr>
        <w:tc>
          <w:tcPr>
            <w:tcW w:type="dxa" w:w="4857"/>
          </w:tcPr>
          <w:p>
            <w:r>
              <w:t>Nota media de acceso</w:t>
            </w:r>
          </w:p>
        </w:tc>
        <w:tc>
          <w:tcPr>
            <w:tcW w:type="dxa" w:w="4857"/>
          </w:tcPr>
          <w:p>
            <w:r>
              <w:t>12,378</w:t>
            </w:r>
          </w:p>
        </w:tc>
        <w:tc>
          <w:tcPr>
            <w:tcW w:type="dxa" w:w="4857"/>
          </w:tcPr>
          <w:p>
            <w:r>
              <w:t>12,735</w:t>
            </w:r>
          </w:p>
        </w:tc>
      </w:tr>
    </w:tbl>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tasa de adecuación (ISGC-P04-16) es del 50%, por debajo del centro (54,34%) y la UCA (61,36%): la mitad del nuevo ingreso accede al título en primera preferencia. El valor es estable desde 2021-22 (entre el 46,48% y el 50,67%) y la CGC seguirá su evolución. La nota de corte, la más alta del centro según la tasa de preferencia, garantiza un perfil de ingreso adecuado para el título.</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5F216CC0" w14:textId="77777777" w:rsidR="003017E9" w:rsidRPr="00EA51D0" w:rsidRDefault="003017E9" w:rsidP="003017E9">
      <w:pPr>
        <w:spacing w:after="0" w:line="240" w:lineRule="auto"/>
        <w:jc w:val="both"/>
        <w:rPr>
          <w:rFonts w:cs="Calibri"/>
          <w:sz w:val="20"/>
          <w:szCs w:val="20"/>
        </w:rPr>
      </w:pP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14:paraId="11B85200" w14:textId="6CEF0713" w:rsidR="00AE58B9" w:rsidRPr="00EA51D0" w:rsidRDefault="00AE58B9" w:rsidP="00AE58B9">
      <w:pPr>
        <w:spacing w:after="120" w:line="240" w:lineRule="auto"/>
        <w:ind w:left="360"/>
        <w:jc w:val="both"/>
        <w:rPr>
          <w:rFonts w:asciiTheme="minorHAnsi" w:hAnsiTheme="minorHAnsi"/>
          <w:sz w:val="20"/>
          <w:szCs w:val="20"/>
        </w:rPr>
      </w:pPr>
      <w:r w:rsidRPr="00EA51D0">
        <w:rPr>
          <w:rFonts w:asciiTheme="minorHAnsi" w:hAnsiTheme="minorHAnsi"/>
          <w:sz w:val="20"/>
          <w:szCs w:val="20"/>
        </w:rPr>
        <w:t xml:space="preserve">En relación con el programa formativo del título de </w:t>
      </w:r>
      <w:r w:rsidRPr="00EA51D0">
        <w:rPr>
          <w:rFonts w:asciiTheme="minorHAnsi" w:hAnsiTheme="minorHAnsi"/>
          <w:sz w:val="20"/>
          <w:szCs w:val="20"/>
        </w:rPr>
        <w:t>Grado en Ingeniería Aeroespacial</w:t>
      </w:r>
      <w:r w:rsidR="00C6358C" w:rsidRPr="00EA51D0">
        <w:rPr>
          <w:rFonts w:asciiTheme="minorHAnsi" w:hAnsiTheme="minorHAnsi"/>
          <w:color w:val="FF0000"/>
          <w:sz w:val="20"/>
          <w:szCs w:val="20"/>
        </w:rPr>
      </w:r>
      <w:r w:rsidRPr="00EA51D0">
        <w:rPr>
          <w:rFonts w:asciiTheme="minorHAnsi" w:hAnsiTheme="minorHAnsi"/>
          <w:color w:val="FF0000"/>
          <w:sz w:val="20"/>
          <w:szCs w:val="20"/>
        </w:rPr>
      </w:r>
      <w:proofErr w:type="spellStart"/>
      <w:r w:rsidRPr="00EA51D0">
        <w:rPr>
          <w:rFonts w:asciiTheme="minorHAnsi" w:hAnsiTheme="minorHAnsi"/>
          <w:color w:val="FF0000"/>
          <w:sz w:val="20"/>
          <w:szCs w:val="20"/>
        </w:rPr>
      </w:r>
      <w:proofErr w:type="spellEnd"/>
      <w:r w:rsidRPr="00EA51D0">
        <w:rPr>
          <w:rFonts w:asciiTheme="minorHAnsi" w:hAnsiTheme="minorHAnsi"/>
          <w:sz w:val="20"/>
          <w:szCs w:val="20"/>
        </w:rPr>
        <w:t>, se ha desarrollado una intensa actividad de coordinación.</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coordinación se apoya en el profesorado coordinador de cada asignatura y en el coordinador del título, con la Subdirección de Estudiantes y Títulos. El título dispone de un curso de coordinación en el Campus Virtual y, según el autoinforme 2023-24, en ese curso se empezaron a celebrar reuniones de coordinación horizontal y vertical.</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Sin embargo, la satisfacción del alumnado con la coordinación docente (ISGC-P04-10) baja a 2,75 sobre 5 en 2024-25 (3,24 en 2023-24), por debajo del centro (2,95) y la UCA (3,10), y no se dispone de actas de las reuniones de 2024-25 [PENDIENTE: actas de coordinación de 2024-25], que ACCUA exige formalizar (subsanación nº 7). Se mantiene como punto débil (PD-ESI-3.1) con la acción AM-ESI-3.1.</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satisfacción con el proceso de elección y realización del TFG (ISGC-P04-11) también baja, de 3,03 a 2,48 (centro 2,97; UCA 3,19), lo que refuerza la acción sobre el TFG (AM-ESI-6.1).</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No procede. El Grado en Ingeniería Aeroespacial no es un título doble, conjunto ni interuniversitario, se imparte en un único centro (ESI, Campus de Puerto Real) y no tiene mención dual. Las menciones en Aeronaves y en Equipos y Materiales Aeroespaciales forman parte del plan de estudios verificado.</w:t>
      </w:r>
    </w:p>
    <w:p w14:paraId="5521530C" w14:textId="77777777" w:rsidR="000A6DF3" w:rsidRPr="00EA51D0" w:rsidRDefault="000A6DF3" w:rsidP="005D3ACE">
      <w:pPr>
        <w:spacing w:after="0"/>
        <w:jc w:val="both"/>
        <w:rPr>
          <w:rFonts w:asciiTheme="minorHAnsi" w:eastAsia="Times New Roman" w:hAnsiTheme="minorHAnsi" w:cstheme="minorHAnsi"/>
          <w:i/>
          <w:color w:val="FF0000"/>
          <w:sz w:val="20"/>
          <w:szCs w:val="20"/>
          <w:lang w:eastAsia="es-ES"/>
        </w:rPr>
      </w:pPr>
    </w:p>
    <w:p w14:paraId="2182ECD4" w14:textId="77777777" w:rsidR="005D691F" w:rsidRPr="00EA51D0" w:rsidRDefault="005D691F" w:rsidP="00347EC9">
      <w:pPr>
        <w:spacing w:after="0"/>
        <w:jc w:val="both"/>
      </w:pP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PF-ESI-3.1.- El título mantiene una demanda muy elevada: tasa de preferencia del 292,86% y nota de corte de 12,274, con una ocupación del 97,14%.</w:t>
              <w:br/>
              <w:t>- PF-ESI-3.2.- La ESI gestiona los TFG mediante la aplicación tfgm.uca.es y celebra convocatorias de defensa mensuales.</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PD-ESI-3.1.- La satisfacción del alumnado con la coordinación docente desciende a 2,75 sobre 5 (3,24 en 2023-24) y siguen sin formalizarse con acta las reuniones de coordinación del título.</w:t>
            </w:r>
          </w:p>
        </w:tc>
        <w:tc>
          <w:tcPr>
            <w:tcW w:w="2278" w:type="pct"/>
            <w:shd w:val="clear" w:color="auto" w:fill="auto"/>
            <w:vAlign w:val="center"/>
          </w:tcPr>
          <w:p w14:paraId="04DBC31C"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AM-ESI-3.1.- Celebrar al menos una reunión de coordinación horizontal por semestre y curso y una vertical anual, con orden del día y acta archivada en Colabora, apoyadas en el curso de coordinación del Campus Virtual.</w:t>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En 2024-25 imparten docencia en el título 74 profesores y profesoras (66 en 2020-21), de los que el 77,03% es doctor (66,67% en 2020-21). El profesorado acumula 149 quinquenios y 71 sexenios de investigación (38 en 2020-21), lo que da respuesta a la recomendación nº 9 de ACCUA (ISGC-P05-01; Anexo 2).</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Por categorías, la plantilla estable la forman 4 catedráticos, 29 profesores titulares de universidad, 4 titulares de escuela universitaria, 5 profesores contratados doctores y 1 colaborador. La completan 7 profesores ayudantes doctores, 5 asociados y 19 sustitutos u otras figuras (25,68%). El peso de las figuras temporales es alto, aunque la incorporación de ayudantes doctores favorece el relevo. La relación nominal del profesorado de 2024-25 (Anexo II) queda [PENDIENTE] de completar con LinceBI.</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Ttulo5"/>
        <w:rPr>
          <w:rFonts w:ascii="Calibri" w:eastAsia="Times New Roman" w:hAnsi="Calibri" w:cs="Calibri"/>
          <w:sz w:val="20"/>
          <w:szCs w:val="20"/>
        </w:rPr>
      </w:pPr>
      <w:r w:rsidRPr="00EA51D0">
        <w:rPr>
          <w:rFonts w:ascii="Calibri" w:hAnsi="Calibri" w:cs="Calibri"/>
          <w:color w:val="auto"/>
          <w:sz w:val="20"/>
          <w:szCs w:val="20"/>
        </w:rPr>
        <w:t>ANEXO II:</w:t>
      </w:r>
      <w:r w:rsidR="00AC4EFC" w:rsidRPr="00EA51D0">
        <w:rPr>
          <w:rFonts w:ascii="Calibri" w:hAnsi="Calibri" w:cs="Calibri"/>
          <w:color w:val="auto"/>
          <w:sz w:val="20"/>
          <w:szCs w:val="20"/>
        </w:rPr>
        <w:t xml:space="preserve">  </w:t>
      </w:r>
      <w:r w:rsidRPr="00EA51D0">
        <w:rPr>
          <w:rFonts w:ascii="Calibri" w:hAnsi="Calibri" w:cs="Calibri"/>
          <w:color w:val="auto"/>
          <w:sz w:val="20"/>
          <w:szCs w:val="20"/>
        </w:rPr>
        <w:t xml:space="preserve">1) </w:t>
      </w:r>
      <w:r w:rsidR="00C21A98" w:rsidRPr="00EA51D0">
        <w:rPr>
          <w:rFonts w:ascii="Calibri" w:hAnsi="Calibri" w:cs="Calibri"/>
          <w:color w:val="auto"/>
          <w:sz w:val="20"/>
          <w:szCs w:val="20"/>
        </w:rPr>
        <w:t>Tabla Personal para</w:t>
      </w:r>
      <w:r w:rsidRPr="00EA51D0">
        <w:rPr>
          <w:rFonts w:ascii="Calibri" w:hAnsi="Calibri" w:cs="Calibri"/>
          <w:color w:val="auto"/>
          <w:sz w:val="20"/>
          <w:szCs w:val="20"/>
        </w:rPr>
        <w:t xml:space="preserve"> impartir el título (último año impartido).</w:t>
      </w:r>
      <w:r w:rsidR="00C21A98" w:rsidRPr="00EA51D0">
        <w:rPr>
          <w:rFonts w:ascii="Calibri" w:hAnsi="Calibri" w:cs="Calibri"/>
          <w:color w:val="auto"/>
          <w:sz w:val="20"/>
          <w:szCs w:val="20"/>
        </w:rPr>
        <w:t xml:space="preserve"> </w:t>
      </w:r>
      <w:r w:rsidR="00177270" w:rsidRPr="00EA51D0">
        <w:rPr>
          <w:rFonts w:ascii="Calibri" w:hAnsi="Calibri" w:cs="Calibri"/>
          <w:color w:val="auto"/>
          <w:sz w:val="20"/>
          <w:szCs w:val="20"/>
        </w:rPr>
        <w:t xml:space="preserve"> </w:t>
      </w:r>
      <w:hyperlink r:id="rId35" w:history="1">
        <w:r w:rsidR="00177270" w:rsidRPr="00EA51D0">
          <w:rPr>
            <w:rStyle w:val="Hipervnculo"/>
            <w:rFonts w:ascii="Calibri" w:hAnsi="Calibri" w:cs="Calibri"/>
            <w:i/>
            <w:sz w:val="20"/>
            <w:szCs w:val="20"/>
          </w:rPr>
          <w:t>https://data.uca.es/lincebi</w:t>
        </w:r>
      </w:hyperlink>
      <w:r w:rsidR="00177270" w:rsidRPr="00EA51D0">
        <w:rPr>
          <w:rFonts w:ascii="Calibri" w:hAnsi="Calibri" w:cs="Calibri"/>
          <w:i/>
          <w:sz w:val="20"/>
          <w:szCs w:val="20"/>
        </w:rPr>
        <w:t xml:space="preserve"> - </w:t>
      </w:r>
      <w:r w:rsidR="00177270" w:rsidRPr="00EA51D0">
        <w:rPr>
          <w:rFonts w:ascii="Calibri" w:eastAsia="Calibri" w:hAnsi="Calibri" w:cs="Calibri"/>
          <w:i/>
          <w:color w:val="FF0000"/>
          <w:sz w:val="20"/>
          <w:szCs w:val="20"/>
        </w:rPr>
      </w:r>
      <w:proofErr w:type="spellStart"/>
      <w:r w:rsidR="00177270" w:rsidRPr="00EA51D0">
        <w:rPr>
          <w:rFonts w:ascii="Calibri" w:eastAsia="Calibri" w:hAnsi="Calibri" w:cs="Calibri"/>
          <w:i/>
          <w:color w:val="FF0000"/>
          <w:sz w:val="20"/>
          <w:szCs w:val="20"/>
        </w:rPr>
      </w:r>
      <w:proofErr w:type="spellEnd"/>
      <w:r w:rsidR="00177270" w:rsidRPr="00EA51D0">
        <w:rPr>
          <w:rFonts w:ascii="Calibri" w:eastAsia="Calibri" w:hAnsi="Calibri" w:cs="Calibri"/>
          <w:i/>
          <w:color w:val="FF0000"/>
          <w:sz w:val="20"/>
          <w:szCs w:val="20"/>
        </w:rPr>
      </w:r>
      <w:r w:rsidR="00177270" w:rsidRPr="00EA51D0">
        <w:rPr>
          <w:rFonts w:ascii="Calibri" w:hAnsi="Calibri" w:cs="Calibri"/>
          <w:sz w:val="20"/>
          <w:szCs w:val="20"/>
        </w:rPr>
        <w:t xml:space="preserve"> </w:t>
      </w: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El número de profesores (74 en 2024-25, ocho más que en 2020-21) y los créditos impartidos (534,97, estables desde 2020-21) son suficientes para atender a un nuevo ingreso de 70 plazas.</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10CB8DF2" w14:textId="77777777" w:rsidR="00AC4EFC" w:rsidRPr="00EA51D0" w:rsidRDefault="00AC4EFC" w:rsidP="00B1791C">
      <w:pPr>
        <w:spacing w:after="0"/>
        <w:rPr>
          <w:rFonts w:asciiTheme="minorHAnsi" w:hAnsiTheme="minorHAnsi" w:cstheme="minorHAnsi"/>
          <w:sz w:val="20"/>
          <w:szCs w:val="20"/>
        </w:rPr>
      </w:pPr>
    </w:p>
    <w:p w14:paraId="3E9FA9BA" w14:textId="73FF93B8" w:rsidR="00177270" w:rsidRPr="00EA51D0" w:rsidRDefault="00177270" w:rsidP="00177270">
      <w:pPr>
        <w:pStyle w:val="Ttulo5"/>
        <w:rPr>
          <w:rFonts w:ascii="Calibri" w:eastAsia="Times New Roman" w:hAnsi="Calibri" w:cs="Calibri"/>
          <w:sz w:val="20"/>
          <w:szCs w:val="20"/>
        </w:rPr>
      </w:pPr>
      <w:r w:rsidRPr="00EA51D0">
        <w:rPr>
          <w:rFonts w:ascii="Calibri" w:hAnsi="Calibri" w:cs="Calibri"/>
          <w:color w:val="auto"/>
          <w:sz w:val="20"/>
          <w:szCs w:val="20"/>
        </w:rPr>
        <w:lastRenderedPageBreak/>
        <w:t xml:space="preserve">ANEXO II:  1) Tabla Personal para impartir el título (último año impartido).  </w:t>
      </w:r>
      <w:hyperlink r:id="rId37" w:history="1">
        <w:r w:rsidRPr="00EA51D0">
          <w:rPr>
            <w:rStyle w:val="Hipervnculo"/>
            <w:rFonts w:ascii="Calibri" w:hAnsi="Calibri" w:cs="Calibri"/>
            <w:i/>
            <w:sz w:val="20"/>
            <w:szCs w:val="20"/>
          </w:rPr>
          <w:t>https://data.uca.es/lincebi</w:t>
        </w:r>
      </w:hyperlink>
      <w:r w:rsidRPr="00EA51D0">
        <w:rPr>
          <w:rFonts w:ascii="Calibri" w:hAnsi="Calibri" w:cs="Calibri"/>
          <w:i/>
          <w:sz w:val="20"/>
          <w:szCs w:val="20"/>
        </w:rPr>
        <w:t xml:space="preserve"> - </w:t>
      </w:r>
      <w:r w:rsidRPr="00EA51D0">
        <w:rPr>
          <w:rFonts w:ascii="Calibri" w:eastAsia="Calibri" w:hAnsi="Calibri" w:cs="Calibri"/>
          <w:i/>
          <w:color w:val="FF0000"/>
          <w:sz w:val="20"/>
          <w:szCs w:val="20"/>
        </w:rPr>
      </w:r>
      <w:proofErr w:type="spellStart"/>
      <w:r w:rsidRPr="00EA51D0">
        <w:rPr>
          <w:rFonts w:ascii="Calibri" w:eastAsia="Calibri" w:hAnsi="Calibri" w:cs="Calibri"/>
          <w:i/>
          <w:color w:val="FF0000"/>
          <w:sz w:val="20"/>
          <w:szCs w:val="20"/>
        </w:rPr>
      </w:r>
      <w:proofErr w:type="spellEnd"/>
      <w:r w:rsidRPr="00EA51D0">
        <w:rPr>
          <w:rFonts w:ascii="Calibri" w:eastAsia="Calibri" w:hAnsi="Calibri" w:cs="Calibri"/>
          <w:i/>
          <w:color w:val="FF0000"/>
          <w:sz w:val="20"/>
          <w:szCs w:val="20"/>
        </w:rPr>
      </w:r>
      <w:r w:rsidR="00F862CD">
        <w:rPr>
          <w:rFonts w:ascii="Calibri" w:hAnsi="Calibri" w:cs="Calibri"/>
          <w:sz w:val="20"/>
          <w:szCs w:val="20"/>
        </w:rPr>
        <w:t xml:space="preserve">. </w:t>
      </w:r>
      <w:r w:rsidR="00F862CD" w:rsidRPr="00F862CD">
        <w:rPr>
          <w:rFonts w:asciiTheme="minorHAnsi" w:eastAsia="Calibri" w:hAnsiTheme="minorHAnsi" w:cstheme="minorHAnsi"/>
          <w:i/>
          <w:color w:val="FF0000"/>
          <w:sz w:val="20"/>
          <w:szCs w:val="20"/>
        </w:rPr>
      </w: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participación del profesorado del título en acciones formativas (ISGC-P05-02) baja al 25,68% en 2024-25 (40% en 2023-24), por debajo del centro (33,33%) y la UCA (35,39%). En cambio, la participación en proyectos de innovación y mejora docente (ISGC-P05-03) sube al 41,89% (32,86% en 2023-24), por encima del centro (39,22%) y la UCA (32,93%).</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En el programa de evaluación de la actividad docente (ISGC-P05-05) participa el 22,97% del profesorado (11,43% en 2023-24). El 52,94% de las evaluaciones son excelentes (ISGC-P05-06) y el 47,06% favorables (ISGC-P05-07), de modo que todo el profesorado evaluado obtiene una valoración positiva.</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caída de la participación en formación se sigue dentro de la recomendación nº 8 de ACCUA; si se mantiene en 2025-26, se tratará como punto débil.</w:t>
      </w:r>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rsidRPr="00EA51D0">
        <w:rPr>
          <w:rFonts w:asciiTheme="minorHAnsi" w:hAnsiTheme="minorHAnsi" w:cstheme="minorHAnsi"/>
          <w:sz w:val="20"/>
          <w:szCs w:val="20"/>
        </w:rPr>
        <w:t>En el entendimiento de que los trabajos de fin</w:t>
      </w:r>
      <w:r w:rsidRPr="00EA51D0">
        <w:rPr>
          <w:rFonts w:asciiTheme="minorHAnsi" w:hAnsiTheme="minorHAnsi" w:cstheme="minorHAnsi"/>
          <w:color w:val="auto"/>
          <w:sz w:val="20"/>
          <w:szCs w:val="20"/>
        </w:rPr>
        <w:t xml:space="preserve"> de </w:t>
      </w:r>
      <w:r w:rsidRPr="00EA51D0">
        <w:rPr>
          <w:rFonts w:asciiTheme="minorHAnsi" w:hAnsiTheme="minorHAnsi" w:cstheme="minorHAnsi"/>
          <w:sz w:val="20"/>
          <w:szCs w:val="20"/>
        </w:rPr>
        <w:t xml:space="preserve">grado </w:t>
      </w:r>
      <w:r w:rsidRPr="00EA51D0">
        <w:rPr>
          <w:rFonts w:asciiTheme="minorHAnsi" w:hAnsiTheme="minorHAnsi" w:cstheme="minorHAnsi"/>
          <w:color w:val="auto"/>
          <w:sz w:val="20"/>
          <w:szCs w:val="20"/>
        </w:rPr>
        <w:t xml:space="preserve">deben ser el resultado de un ejercicio integrador de los contenidos formativos recibidos por los alumnos y de las competencias por ellos adquiridas durante el curso del título, corresponde a la Universidad de Cádiz unificar criterios y dictar procedimientos que aseguren una actuación homogénea de sus centros para la planificación y la evaluación de los </w:t>
      </w:r>
      <w:r w:rsidR="00C6358C" w:rsidRPr="00EA51D0">
        <w:rPr>
          <w:rFonts w:asciiTheme="minorHAnsi" w:hAnsiTheme="minorHAnsi" w:cstheme="minorHAnsi"/>
          <w:color w:val="auto"/>
          <w:sz w:val="20"/>
          <w:szCs w:val="20"/>
        </w:rPr>
        <w:t>t</w:t>
      </w:r>
      <w:r w:rsidRPr="00EA51D0">
        <w:rPr>
          <w:rFonts w:asciiTheme="minorHAnsi" w:hAnsiTheme="minorHAnsi" w:cstheme="minorHAnsi"/>
          <w:color w:val="auto"/>
          <w:sz w:val="20"/>
          <w:szCs w:val="20"/>
        </w:rPr>
        <w:t xml:space="preserve">rabajos de Fin de </w:t>
      </w:r>
      <w:r w:rsidRPr="00EA51D0">
        <w:rPr>
          <w:rFonts w:asciiTheme="minorHAnsi" w:hAnsiTheme="minorHAnsi" w:cstheme="minorHAnsi"/>
          <w:sz w:val="20"/>
          <w:szCs w:val="20"/>
        </w:rPr>
        <w:t>grado</w:t>
      </w:r>
      <w:r w:rsidRPr="00EA51D0">
        <w:rPr>
          <w:rFonts w:asciiTheme="minorHAnsi" w:hAnsiTheme="minorHAnsi" w:cstheme="minorHAnsi"/>
          <w:color w:val="auto"/>
          <w:sz w:val="20"/>
          <w:szCs w:val="20"/>
        </w:rPr>
        <w:t xml:space="preserve">. Atendiendo a esta idea, la Universidad de Cádiz formuló el marco normativo genérico regulador a través del Reglamento Marco UCA/CG07/2012, de 13 de Julio de 2012, de Trabajos Fin de Grado y Máster de </w:t>
      </w:r>
      <w:r w:rsidRPr="00EA51D0">
        <w:rPr>
          <w:rFonts w:asciiTheme="minorHAnsi" w:hAnsiTheme="minorHAnsi" w:cstheme="minorHAnsi"/>
          <w:sz w:val="20"/>
          <w:szCs w:val="20"/>
        </w:rPr>
        <w:t>la Universidad de Cádiz (</w:t>
      </w:r>
      <w:hyperlink r:id="rId45" w:history="1">
        <w:r w:rsidRPr="00EA51D0">
          <w:rPr>
            <w:rStyle w:val="Hipervnculo"/>
            <w:rFonts w:asciiTheme="minorHAnsi" w:eastAsia="Calibri" w:hAnsiTheme="minorHAnsi" w:cstheme="minorHAnsi"/>
            <w:sz w:val="20"/>
            <w:szCs w:val="20"/>
          </w:rPr>
          <w:t>https://bit.ly/3d1UUwV</w:t>
        </w:r>
      </w:hyperlink>
      <w:r w:rsidRPr="00EA51D0">
        <w:rPr>
          <w:rFonts w:asciiTheme="minorHAnsi" w:hAnsiTheme="minorHAnsi" w:cstheme="minorHAnsi"/>
          <w:sz w:val="20"/>
          <w:szCs w:val="20"/>
        </w:rPr>
        <w:t>)  y las modificaciones registradas en el Reglamento UCA/CG07/2014, de 17 de junio (</w:t>
      </w:r>
      <w:hyperlink r:id="rId46" w:history="1">
        <w:r w:rsidRPr="00EA51D0">
          <w:rPr>
            <w:rStyle w:val="Hipervnculo"/>
            <w:rFonts w:asciiTheme="minorHAnsi" w:eastAsia="Calibri" w:hAnsiTheme="minorHAnsi" w:cstheme="minorHAnsi"/>
            <w:sz w:val="20"/>
            <w:szCs w:val="20"/>
          </w:rPr>
          <w:t>https://bit.ly/3dWE9Em</w:t>
        </w:r>
      </w:hyperlink>
      <w:r w:rsidRPr="00EA51D0">
        <w:rPr>
          <w:rFonts w:asciiTheme="minorHAnsi" w:hAnsiTheme="minorHAnsi" w:cstheme="minorHAnsi"/>
          <w:sz w:val="20"/>
          <w:szCs w:val="20"/>
        </w:rPr>
        <w:t xml:space="preserve">). </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En la ESI, el TFG se rige además por la normativa propia del centro (versión 1.3, de 26/07/2022). La oferta de temas, la asignación de tutores y la defensa se gestionan en https://tfgm.uca.es/, con convocatorias de defensa mensuales. La satisfacción del alumnado con este proceso (ISGC-P04-11) baja a 2,48 y el 48% de los matriculados no presentó el TFG en 2024-25, por lo que se incluye la acción AM-ESI-6.1.</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22A64308" w14:textId="77777777" w:rsidR="004F315B" w:rsidRPr="00EA51D0" w:rsidRDefault="004F315B" w:rsidP="004F315B">
      <w:pPr>
        <w:pStyle w:val="Default"/>
        <w:jc w:val="both"/>
        <w:rPr>
          <w:rFonts w:asciiTheme="minorHAnsi" w:hAnsiTheme="minorHAnsi" w:cstheme="minorHAnsi"/>
          <w:sz w:val="20"/>
          <w:szCs w:val="20"/>
        </w:rPr>
      </w:pP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Las prácticas externas son optativas (12 ECTS). Cada estudiante cuenta con un tutor académico del profesorado del título y un tutor en la entidad colaboradora. La satisfacción de los tutores académicos (ISGC-P04-12: 4,4) y de los de las entidades (ISGC-P04-13: 4,6) avala la tutorización. La relación de tutores de 2024-25 (Anexo III, tabla 2) queda [PENDIENTE] de aportar por el centro.</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rsidRPr="00EA51D0">
        <w:rPr>
          <w:rFonts w:asciiTheme="minorHAnsi" w:hAnsiTheme="minorHAnsi" w:cstheme="minorHAnsi"/>
        </w:rPr>
        <w:t>ANEXO II</w:t>
      </w:r>
      <w:r w:rsidR="00C21A98" w:rsidRPr="00EA51D0">
        <w:rPr>
          <w:rFonts w:asciiTheme="minorHAnsi" w:hAnsiTheme="minorHAnsi" w:cstheme="minorHAnsi"/>
        </w:rPr>
        <w:t>I</w:t>
      </w:r>
      <w:r w:rsidR="007C717D" w:rsidRPr="00EA51D0">
        <w:rPr>
          <w:rFonts w:asciiTheme="minorHAnsi" w:hAnsiTheme="minorHAnsi" w:cstheme="minorHAnsi"/>
        </w:rPr>
        <w:t xml:space="preserve"> </w:t>
      </w:r>
      <w:r w:rsidR="007C717D" w:rsidRPr="00EA51D0">
        <w:rPr>
          <w:rFonts w:asciiTheme="minorHAnsi" w:hAnsiTheme="minorHAnsi" w:cstheme="minorHAnsi"/>
          <w:i/>
          <w:color w:val="FF0000"/>
          <w:sz w:val="20"/>
          <w:szCs w:val="20"/>
          <w:shd w:val="clear" w:color="auto" w:fill="FFFFFF"/>
        </w:rPr>
      </w:r>
      <w:r w:rsidRPr="00EA51D0">
        <w:rPr>
          <w:rFonts w:asciiTheme="minorHAnsi" w:hAnsiTheme="minorHAnsi" w:cstheme="minorHAnsi"/>
          <w:i/>
          <w:color w:val="FF0000"/>
          <w:sz w:val="20"/>
          <w:szCs w:val="20"/>
          <w:shd w:val="clear" w:color="auto" w:fill="FFFFFF"/>
        </w:rPr>
      </w:r>
      <w:r w:rsidR="004F315B" w:rsidRPr="00EA51D0">
        <w:rPr>
          <w:rFonts w:asciiTheme="minorHAnsi" w:hAnsiTheme="minorHAnsi" w:cstheme="minorHAnsi"/>
          <w:i/>
          <w:color w:val="FF0000"/>
          <w:sz w:val="20"/>
          <w:szCs w:val="20"/>
          <w:shd w:val="clear" w:color="auto" w:fill="FFFFFF"/>
        </w:rPr>
        <w:t xml:space="preserve"> </w:t>
      </w:r>
      <w:r w:rsidR="00C21A98" w:rsidRPr="00EA51D0">
        <w:rPr>
          <w:rFonts w:asciiTheme="minorHAnsi" w:hAnsiTheme="minorHAnsi" w:cstheme="minorHAnsi"/>
        </w:rPr>
        <w:t>2</w:t>
      </w:r>
      <w:r w:rsidRPr="00EA51D0">
        <w:rPr>
          <w:rFonts w:asciiTheme="minorHAnsi" w:hAnsiTheme="minorHAnsi" w:cstheme="minorHAnsi"/>
        </w:rPr>
        <w:t xml:space="preserve">) </w:t>
      </w:r>
      <w:r w:rsidRPr="00EA51D0">
        <w:rPr>
          <w:rFonts w:asciiTheme="minorHAnsi" w:hAnsiTheme="minorHAnsi" w:cstheme="minorHAnsi"/>
          <w:sz w:val="21"/>
          <w:szCs w:val="21"/>
        </w:rPr>
        <w:t>Personal académico o profesional responsable de las tutorías de las prácticas académicas externas</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No procede: el título se imparte solo en modalidad presencial.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20D5A843" w14:textId="25F22B46" w:rsidR="00713193" w:rsidRPr="00EA51D0" w:rsidRDefault="00713193" w:rsidP="00123C41">
      <w:pPr>
        <w:spacing w:after="0" w:line="240" w:lineRule="auto"/>
        <w:jc w:val="both"/>
        <w:rPr>
          <w:rFonts w:asciiTheme="minorHAnsi" w:hAnsiTheme="minorHAnsi" w:cstheme="minorHAnsi"/>
        </w:rPr>
      </w:pP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satisfacción global del alumnado con la docencia (ISGC-P05-04) es de 4,5 sobre 5 en 2024-25, el valor más alto de la serie junto con 2022-23, y supera al centro y la UCA (4,4 en ambos casos).</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satisfacción global del PDI con el título (ISGC-P07-03) es de 3,89 sobre 5 en 2024-25, algo menor que en 2023-24 (4,06) y similar al centro (3,86) y la UCA (3,96). La participación del PDI en la encuesta (ISGC-P07-01_02) es del 23,38%, por lo que el dato debe interpretarse con cautela.</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PF-ESI-4.1.- La cualificación del profesorado mejora: el 77,03% es doctor (66,67% en 2020-21) y los sexenios acumulados pasan de 38 a 71.</w:t>
              <w:br/>
              <w:t>- PF-ESI-4.2.- La satisfacción global del estudiantado con la docencia alcanza 4,5 sobre 5, por encima del centro y de la UCA (4,4).</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tc>
          <w:tcPr>
            <w:tcW w:type="dxa" w:w="5442"/>
          </w:tcPr>
          <w:p>
            <w:r>
              <w:t>No se han identificado puntos débiles en este criterio.</w:t>
            </w:r>
          </w:p>
        </w:tc>
        <w:tc>
          <w:tcPr>
            <w:tcW w:type="dxa" w:w="4554"/>
          </w:tcPr>
          <w:p>
            <w:r>
              <w:t>—</w:t>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El título se imparte en las instalaciones de la ESI en el Campus de Puerto Real. La satisfacción del alumnado con los recursos materiales e infraestructuras (ISGC-P06-03) baja a 3,37 en 2024-25 (3,68 en 2023-24), por debajo del centro (3,60) y cerca de la UCA (3,44). El profesorado los valora mejor (ISGC-P06-04: 4,08; centro 4,28; UCA 4,05). La CGC seguirá este indicador.</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300B4C55" w14:textId="77777777" w:rsidR="00492D40" w:rsidRPr="00EA51D0" w:rsidRDefault="00492D40" w:rsidP="00492D40">
      <w:pPr>
        <w:autoSpaceDE w:val="0"/>
        <w:autoSpaceDN w:val="0"/>
        <w:adjustRightInd w:val="0"/>
        <w:spacing w:after="0"/>
        <w:jc w:val="both"/>
        <w:rPr>
          <w:rFonts w:cs="Calibri"/>
        </w:rPr>
      </w:pP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6BF7ACD8" w14:textId="3A3EAB39" w:rsidR="003E45B0" w:rsidRPr="00EA51D0" w:rsidRDefault="003E45B0" w:rsidP="003E45B0">
      <w:pPr>
        <w:spacing w:after="120" w:line="240" w:lineRule="auto"/>
        <w:jc w:val="both"/>
        <w:rPr>
          <w:rFonts w:asciiTheme="minorHAnsi" w:hAnsiTheme="minorHAnsi"/>
          <w:bCs/>
          <w:sz w:val="20"/>
          <w:szCs w:val="20"/>
        </w:rPr>
      </w:pP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ESI cuenta con un coordinador de movilidad. En 2024-25 participó en movilidad saliente internacional el 1,84% del alumnado (0,9% en 2023-24), por encima del centro (1,6%) pero por debajo de la UCA (3,13%); la saliente nacional fue del 0,69%. La movilidad entrante internacional (0,69%) es baja frente al centro (1,64%) y la UCA (6,05%).</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satisfacción del alumnado con la movilidad (ISGC-P04-15) cae a 2,56 (3,69 en 2023-24), por debajo del centro (3,21) y la UCA (3,37). Como el número de estudiantes en movilidad es reducido, el indicador es muy sensible a pocas respuestas. Junto con la baja participación, que ACCUA señaló como aspecto a subsanar (nº 10), se mantiene el punto débil PD-ESI-5.1 con la acción AM-ESI-5.1.</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Las prácticas externas son optativas (12 ECTS) y se gestionan con la plataforma ICARO. Entre las entidades con convenio figuran, según el autoinforme 2023-24, Airbus Operations, Alestis, Titania, Geci, Aeroavance, Aviatech, Flight Training Europe, M&amp;M, MYMSA, Saica y STAR.</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oferta cubre la demanda: en 2024-25 hubo 1,15 plazas por estudiante solicitante (ISGC-P04-08), menos que en el centro (1,93) pero más que en la UCA (0,49). El número de estudiantes que hicieron prácticas curriculares en 2024-25 queda [PENDIENTE] (en 2023-24 fueron 35).</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Los tutores académicos (4,4) y los de las entidades (4,6) están muy satisfechos. La satisfacción del alumnado (ISGC-P04-14) baja a 3,54 (4,2 en 2023-24), en línea con el centro (3,52) y la UCA (3,55). En la asignatura de prácticas curriculares el 89% de las calificaciones son notables o sobresalientes (Anexo IV).</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ESI dispone de personal técnico de laboratorio que apoya la docencia práctica del título (tres técnicos según el autoinforme 2023-24; [PENDIENTE: confirmar para 2024-25]). La satisfacción global del PTGAS con el centro (ISGC-P07-04, medida para el Campus de Puerto Real) es de 3,79 sobre 5, estable y similar a la UCA (3,81).</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6E95B60A" w14:textId="77777777" w:rsidR="009D6922" w:rsidRPr="00EA51D0" w:rsidRDefault="009D6922" w:rsidP="009D6922">
      <w:pPr>
        <w:spacing w:after="0" w:line="240" w:lineRule="auto"/>
        <w:jc w:val="both"/>
        <w:rPr>
          <w:rFonts w:cs="Calibri"/>
        </w:rPr>
      </w:pPr>
    </w:p>
    <w:p w14:paraId="430FA050" w14:textId="77777777" w:rsidR="009D6922" w:rsidRPr="00EA51D0" w:rsidRDefault="009D6922" w:rsidP="009D6922">
      <w:pPr>
        <w:spacing w:after="0" w:line="240" w:lineRule="auto"/>
        <w:jc w:val="both"/>
        <w:rPr>
          <w:rFonts w:cs="Calibri"/>
        </w:rPr>
      </w:pP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No procede: el título se imparte solo en modalidad presencial.</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PF-ESI-5.1.- Los tutores académicos (4,4) y los de las entidades colaboradoras (4,6) valoran muy positivamente las prácticas externas, y la oferta de plazas cubre la demanda (1,15 plazas por solicitante).</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PD-ESI-5.1.- La movilidad saliente internacional sigue siendo baja (1,84%) y la satisfacción del alumnado con la movilidad cae a 2,56 sobre 5 (3,69 en 2023-24), por debajo del centro (3,21).</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AM-ESI-5.1.- Sesión informativa anual específica para el estudiantado del título con el coordinador de movilidad del centro y revisión, con la coordinación, de los destinos y tablas de reconocimiento adecuados al plan de estudios.</w:t>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El título se sitúa en el nivel 2 del MECES (Grado) y habilita para la profesión de Ingeniero Técnico Aeronáutico (Orden CIN/308/2009). Los resultados son acordes con ese nivel: la tasa de éxito es del 79,8% y la de rendimiento del 67,4%, y en el TFG, que integra las competencias del título, el 37% del estudiantado matriculado obtiene notable, sobresaliente o matrícula de honor (Anexo IV).</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Los egresados valoran con 3,13 sobre 5 las competencias adquiridas (ISGC-P07-10) y el 95,24% de los que trabajan lo hace en un sector relacionado con el título, lo que indica que el perfil de egreso responde a lo que demanda el sector.</w:t>
      </w:r>
    </w:p>
    <w:p w14:paraId="4AFDB184" w14:textId="322D52DE" w:rsidR="00BB1529" w:rsidRPr="00EA51D0" w:rsidRDefault="00BB1529" w:rsidP="00BB1529">
      <w:pPr>
        <w:spacing w:after="0"/>
        <w:rPr>
          <w:rFonts w:asciiTheme="minorHAnsi" w:hAnsiTheme="minorHAnsi" w:cstheme="minorHAnsi"/>
          <w:sz w:val="20"/>
          <w:szCs w:val="20"/>
        </w:rPr>
      </w:pPr>
    </w:p>
    <w:p w14:paraId="410EE1C3" w14:textId="77777777" w:rsidR="00975F7A" w:rsidRPr="00EA51D0" w:rsidRDefault="00975F7A" w:rsidP="00975F7A">
      <w:pPr>
        <w:spacing w:after="0" w:line="240" w:lineRule="auto"/>
        <w:jc w:val="both"/>
        <w:rPr>
          <w:rFonts w:cs="Calibri"/>
          <w:color w:val="00B0F0"/>
        </w:rPr>
      </w:pP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Las guías docentes, publicadas en la web del título, describen las actividades formativas, la metodología y los sistemas de evaluación de cada asignatura conforme a la memoria verificada. La satisfacción del alumnado con la docencia (4,5) y la tasa de evaluación (ISGC-P04-03: 84,5%) indican que los sistemas de evaluación son adecuados.</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Los indicadores de rendimiento del Anexo 1 son valores dinámicos y pueden cambiar a diario; los de este autoinforme se extrajeron de LinceBI el 3 de octubre de 2026. Por eso algunos valores de 2023-24 difieren de los del autoinforme anterior; el cambio más notable es la tasa de graduación, que figura ahora como 33,3% (19,7% en el autoinforme 2023-24).</w:t>
      </w:r>
    </w:p>
    <w:tbl>
      <w:tblPr>
        <w:tblStyle w:val="Tablaconcuadrcula"/>
        <w:tblW w:type="auto" w:w="0"/>
        <w:tblLook w:firstColumn="1" w:firstRow="1" w:lastColumn="0" w:lastRow="0" w:noHBand="0" w:noVBand="1" w:val="04A0"/>
      </w:tblPr>
      <w:tblGrid>
        <w:gridCol w:w="2081"/>
        <w:gridCol w:w="2081"/>
        <w:gridCol w:w="2081"/>
        <w:gridCol w:w="2081"/>
        <w:gridCol w:w="2081"/>
        <w:gridCol w:w="2081"/>
        <w:gridCol w:w="2081"/>
      </w:tblGrid>
      <w:tr>
        <w:tc>
          <w:tcPr>
            <w:tcW w:type="dxa" w:w="2081"/>
          </w:tcPr>
          <w:p>
            <w:r>
              <w:rPr>
                <w:b/>
              </w:rPr>
              <w:t>Indicador</w:t>
            </w:r>
          </w:p>
        </w:tc>
        <w:tc>
          <w:tcPr>
            <w:tcW w:type="dxa" w:w="2081"/>
          </w:tcPr>
          <w:p>
            <w:r>
              <w:rPr>
                <w:b/>
              </w:rPr>
              <w:t>Memoria verificada</w:t>
            </w:r>
          </w:p>
        </w:tc>
        <w:tc>
          <w:tcPr>
            <w:tcW w:type="dxa" w:w="2081"/>
          </w:tcPr>
          <w:p>
            <w:r>
              <w:rPr>
                <w:b/>
              </w:rPr>
              <w:t>2022-23</w:t>
            </w:r>
          </w:p>
        </w:tc>
        <w:tc>
          <w:tcPr>
            <w:tcW w:type="dxa" w:w="2081"/>
          </w:tcPr>
          <w:p>
            <w:r>
              <w:rPr>
                <w:b/>
              </w:rPr>
              <w:t>2023-24</w:t>
            </w:r>
          </w:p>
        </w:tc>
        <w:tc>
          <w:tcPr>
            <w:tcW w:type="dxa" w:w="2081"/>
          </w:tcPr>
          <w:p>
            <w:r>
              <w:rPr>
                <w:b/>
              </w:rPr>
              <w:t>2024-25</w:t>
            </w:r>
          </w:p>
        </w:tc>
        <w:tc>
          <w:tcPr>
            <w:tcW w:type="dxa" w:w="2081"/>
          </w:tcPr>
          <w:p>
            <w:r>
              <w:rPr>
                <w:b/>
              </w:rPr>
              <w:t>Centro 2024-25</w:t>
            </w:r>
          </w:p>
        </w:tc>
        <w:tc>
          <w:tcPr>
            <w:tcW w:type="dxa" w:w="2081"/>
          </w:tcPr>
          <w:p>
            <w:r>
              <w:rPr>
                <w:b/>
              </w:rPr>
              <w:t>UCA 2024-25</w:t>
            </w:r>
          </w:p>
        </w:tc>
      </w:tr>
      <w:tr>
        <w:tc>
          <w:tcPr>
            <w:tcW w:type="dxa" w:w="2081"/>
          </w:tcPr>
          <w:p>
            <w:r>
              <w:t>Tasa de rendimiento (ISGC-P04-01)</w:t>
            </w:r>
          </w:p>
        </w:tc>
        <w:tc>
          <w:tcPr>
            <w:tcW w:type="dxa" w:w="2081"/>
          </w:tcPr>
          <w:p>
            <w:r>
              <w:t>50±5%</w:t>
            </w:r>
          </w:p>
        </w:tc>
        <w:tc>
          <w:tcPr>
            <w:tcW w:type="dxa" w:w="2081"/>
          </w:tcPr>
          <w:p>
            <w:r>
              <w:t>68%</w:t>
            </w:r>
          </w:p>
        </w:tc>
        <w:tc>
          <w:tcPr>
            <w:tcW w:type="dxa" w:w="2081"/>
          </w:tcPr>
          <w:p>
            <w:r>
              <w:t>69,2%</w:t>
            </w:r>
          </w:p>
        </w:tc>
        <w:tc>
          <w:tcPr>
            <w:tcW w:type="dxa" w:w="2081"/>
          </w:tcPr>
          <w:p>
            <w:r>
              <w:t>67,4%</w:t>
            </w:r>
          </w:p>
        </w:tc>
        <w:tc>
          <w:tcPr>
            <w:tcW w:type="dxa" w:w="2081"/>
          </w:tcPr>
          <w:p>
            <w:r>
              <w:t>60,5%</w:t>
            </w:r>
          </w:p>
        </w:tc>
        <w:tc>
          <w:tcPr>
            <w:tcW w:type="dxa" w:w="2081"/>
          </w:tcPr>
          <w:p>
            <w:r>
              <w:t>75,1%</w:t>
            </w:r>
          </w:p>
        </w:tc>
      </w:tr>
      <w:tr>
        <w:tc>
          <w:tcPr>
            <w:tcW w:type="dxa" w:w="2081"/>
          </w:tcPr>
          <w:p>
            <w:r>
              <w:t>Tasa de éxito (ISGC-P04-02)</w:t>
            </w:r>
          </w:p>
        </w:tc>
        <w:tc>
          <w:tcPr>
            <w:tcW w:type="dxa" w:w="2081"/>
          </w:tcPr>
          <w:p>
            <w:r>
              <w:t>—</w:t>
            </w:r>
          </w:p>
        </w:tc>
        <w:tc>
          <w:tcPr>
            <w:tcW w:type="dxa" w:w="2081"/>
          </w:tcPr>
          <w:p>
            <w:r>
              <w:t>80,4%</w:t>
            </w:r>
          </w:p>
        </w:tc>
        <w:tc>
          <w:tcPr>
            <w:tcW w:type="dxa" w:w="2081"/>
          </w:tcPr>
          <w:p>
            <w:r>
              <w:t>81,9%</w:t>
            </w:r>
          </w:p>
        </w:tc>
        <w:tc>
          <w:tcPr>
            <w:tcW w:type="dxa" w:w="2081"/>
          </w:tcPr>
          <w:p>
            <w:r>
              <w:t>79,8%</w:t>
            </w:r>
          </w:p>
        </w:tc>
        <w:tc>
          <w:tcPr>
            <w:tcW w:type="dxa" w:w="2081"/>
          </w:tcPr>
          <w:p>
            <w:r>
              <w:t>73,3%</w:t>
            </w:r>
          </w:p>
        </w:tc>
        <w:tc>
          <w:tcPr>
            <w:tcW w:type="dxa" w:w="2081"/>
          </w:tcPr>
          <w:p>
            <w:r>
              <w:t>84,4%</w:t>
            </w:r>
          </w:p>
        </w:tc>
      </w:tr>
      <w:tr>
        <w:tc>
          <w:tcPr>
            <w:tcW w:type="dxa" w:w="2081"/>
          </w:tcPr>
          <w:p>
            <w:r>
              <w:t>Tasa de abandono (ISGC-P04-04)</w:t>
            </w:r>
          </w:p>
        </w:tc>
        <w:tc>
          <w:tcPr>
            <w:tcW w:type="dxa" w:w="2081"/>
          </w:tcPr>
          <w:p>
            <w:r>
              <w:t>20±5%</w:t>
            </w:r>
          </w:p>
        </w:tc>
        <w:tc>
          <w:tcPr>
            <w:tcW w:type="dxa" w:w="2081"/>
          </w:tcPr>
          <w:p>
            <w:r>
              <w:t>5,2%</w:t>
            </w:r>
          </w:p>
        </w:tc>
        <w:tc>
          <w:tcPr>
            <w:tcW w:type="dxa" w:w="2081"/>
          </w:tcPr>
          <w:p>
            <w:r>
              <w:t>12,1%</w:t>
            </w:r>
          </w:p>
        </w:tc>
        <w:tc>
          <w:tcPr>
            <w:tcW w:type="dxa" w:w="2081"/>
          </w:tcPr>
          <w:p>
            <w:r>
              <w:t>10,4%</w:t>
            </w:r>
          </w:p>
        </w:tc>
        <w:tc>
          <w:tcPr>
            <w:tcW w:type="dxa" w:w="2081"/>
          </w:tcPr>
          <w:p>
            <w:r>
              <w:t>32,4%</w:t>
            </w:r>
          </w:p>
        </w:tc>
        <w:tc>
          <w:tcPr>
            <w:tcW w:type="dxa" w:w="2081"/>
          </w:tcPr>
          <w:p>
            <w:r>
              <w:t>26,9%</w:t>
            </w:r>
          </w:p>
        </w:tc>
      </w:tr>
      <w:tr>
        <w:tc>
          <w:tcPr>
            <w:tcW w:type="dxa" w:w="2081"/>
          </w:tcPr>
          <w:p>
            <w:r>
              <w:t>Tasa de graduación (ISGC-P04-05)</w:t>
            </w:r>
          </w:p>
        </w:tc>
        <w:tc>
          <w:tcPr>
            <w:tcW w:type="dxa" w:w="2081"/>
          </w:tcPr>
          <w:p>
            <w:r>
              <w:t>20±5%</w:t>
            </w:r>
          </w:p>
        </w:tc>
        <w:tc>
          <w:tcPr>
            <w:tcW w:type="dxa" w:w="2081"/>
          </w:tcPr>
          <w:p>
            <w:r>
              <w:t>31,2%</w:t>
            </w:r>
          </w:p>
        </w:tc>
        <w:tc>
          <w:tcPr>
            <w:tcW w:type="dxa" w:w="2081"/>
          </w:tcPr>
          <w:p>
            <w:r>
              <w:t>33,3%</w:t>
            </w:r>
          </w:p>
        </w:tc>
        <w:tc>
          <w:tcPr>
            <w:tcW w:type="dxa" w:w="2081"/>
          </w:tcPr>
          <w:p>
            <w:r>
              <w:t>29,9%</w:t>
            </w:r>
          </w:p>
        </w:tc>
        <w:tc>
          <w:tcPr>
            <w:tcW w:type="dxa" w:w="2081"/>
          </w:tcPr>
          <w:p>
            <w:r>
              <w:t>17,5%</w:t>
            </w:r>
          </w:p>
        </w:tc>
        <w:tc>
          <w:tcPr>
            <w:tcW w:type="dxa" w:w="2081"/>
          </w:tcPr>
          <w:p>
            <w:r>
              <w:t>42,5%</w:t>
            </w:r>
          </w:p>
        </w:tc>
      </w:tr>
      <w:tr>
        <w:tc>
          <w:tcPr>
            <w:tcW w:type="dxa" w:w="2081"/>
          </w:tcPr>
          <w:p>
            <w:r>
              <w:t>Tasa de eficiencia (ISGC-P04-06)</w:t>
            </w:r>
          </w:p>
        </w:tc>
        <w:tc>
          <w:tcPr>
            <w:tcW w:type="dxa" w:w="2081"/>
          </w:tcPr>
          <w:p>
            <w:r>
              <w:t>65±5%</w:t>
            </w:r>
          </w:p>
        </w:tc>
        <w:tc>
          <w:tcPr>
            <w:tcW w:type="dxa" w:w="2081"/>
          </w:tcPr>
          <w:p>
            <w:r>
              <w:t>73,4%</w:t>
            </w:r>
          </w:p>
        </w:tc>
        <w:tc>
          <w:tcPr>
            <w:tcW w:type="dxa" w:w="2081"/>
          </w:tcPr>
          <w:p>
            <w:r>
              <w:t>77,8%</w:t>
            </w:r>
          </w:p>
        </w:tc>
        <w:tc>
          <w:tcPr>
            <w:tcW w:type="dxa" w:w="2081"/>
          </w:tcPr>
          <w:p>
            <w:r>
              <w:t>73,4%</w:t>
            </w:r>
          </w:p>
        </w:tc>
        <w:tc>
          <w:tcPr>
            <w:tcW w:type="dxa" w:w="2081"/>
          </w:tcPr>
          <w:p>
            <w:r>
              <w:t>72,1%</w:t>
            </w:r>
          </w:p>
        </w:tc>
        <w:tc>
          <w:tcPr>
            <w:tcW w:type="dxa" w:w="2081"/>
          </w:tcPr>
          <w:p>
            <w:r>
              <w:t>86,4%</w:t>
            </w:r>
          </w:p>
        </w:tc>
      </w:tr>
      <w:tr>
        <w:tc>
          <w:tcPr>
            <w:tcW w:type="dxa" w:w="2081"/>
          </w:tcPr>
          <w:p>
            <w:r>
              <w:t>Duración media (ISGC-P04-07)</w:t>
            </w:r>
          </w:p>
        </w:tc>
        <w:tc>
          <w:tcPr>
            <w:tcW w:type="dxa" w:w="2081"/>
          </w:tcPr>
          <w:p>
            <w:r>
              <w:t>—</w:t>
            </w:r>
          </w:p>
        </w:tc>
        <w:tc>
          <w:tcPr>
            <w:tcW w:type="dxa" w:w="2081"/>
          </w:tcPr>
          <w:p>
            <w:r>
              <w:t>6,3</w:t>
            </w:r>
          </w:p>
        </w:tc>
        <w:tc>
          <w:tcPr>
            <w:tcW w:type="dxa" w:w="2081"/>
          </w:tcPr>
          <w:p>
            <w:r>
              <w:t>5,7</w:t>
            </w:r>
          </w:p>
        </w:tc>
        <w:tc>
          <w:tcPr>
            <w:tcW w:type="dxa" w:w="2081"/>
          </w:tcPr>
          <w:p>
            <w:r>
              <w:t>6,4</w:t>
            </w:r>
          </w:p>
        </w:tc>
        <w:tc>
          <w:tcPr>
            <w:tcW w:type="dxa" w:w="2081"/>
          </w:tcPr>
          <w:p>
            <w:r>
              <w:t>6,34</w:t>
            </w:r>
          </w:p>
        </w:tc>
        <w:tc>
          <w:tcPr>
            <w:tcW w:type="dxa" w:w="2081"/>
          </w:tcPr>
          <w:p>
            <w:r>
              <w:t>5,11</w:t>
            </w:r>
          </w:p>
        </w:tc>
      </w:tr>
    </w:tbl>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Todas las tasas cumplen o mejoran los valores de la memoria verificada (apartado 8.1) y superan las del centro. La tasa de abandono (10,4%) mejora el objetivo de la memoria (20±5%) y es muy inferior a la del centro (32,4%) y la UCA (26,9%). La de graduación (29,9%) supera el objetivo (20±5%) y la del centro (17,5%), aunque queda lejos de la UCA (42,5%). Con ello se dan por resueltos los puntos débiles sobre abandono (PD-ESI-6.1) y graduación (PD-ESI-6.2) del autoinforme 2023-24.</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Las tasas de rendimiento (67,4%) y éxito (79,8%) bajan ligeramente respecto a 2023-24 y siguen por debajo de la UCA (75,1% y 84,4%).</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El aspecto menos favorable es la duración media de los estudios (ISGC-P04-07), que sube a 6,4 años (5,7 en 2023-24), similar a la del centro (6,34) pero superior a la UCA (5,11). ACCUA ya pidió reducirla (subsanación nº 12) y el retraso se concentra en el TFG, donde el 48% de los matriculados no se presenta. Se recoge como punto débil (PD-ESI-6.1) con la acción AM-ESI-6.1.</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w:t>
      </w:r>
      <w:r w:rsidR="00C21A98" w:rsidRPr="00EA51D0">
        <w:rPr>
          <w:rFonts w:asciiTheme="minorHAnsi" w:hAnsiTheme="minorHAnsi" w:cstheme="minorHAnsi"/>
          <w:sz w:val="20"/>
          <w:szCs w:val="20"/>
          <w:lang w:val="es-ES_tradnl"/>
        </w:rPr>
        <w:t xml:space="preserve"> </w:t>
      </w:r>
      <w:r w:rsidR="0018224A" w:rsidRPr="00EA51D0">
        <w:rPr>
          <w:rFonts w:asciiTheme="minorHAnsi" w:hAnsiTheme="minorHAnsi" w:cstheme="minorHAnsi"/>
          <w:sz w:val="20"/>
          <w:szCs w:val="20"/>
          <w:lang w:val="es-ES_tradnl"/>
        </w:rPr>
        <w:t>IV</w:t>
      </w:r>
      <w:r w:rsidRPr="00EA51D0">
        <w:rPr>
          <w:rFonts w:asciiTheme="minorHAnsi" w:hAnsiTheme="minorHAnsi" w:cstheme="minorHAnsi"/>
          <w:sz w:val="20"/>
          <w:szCs w:val="20"/>
          <w:lang w:val="es-ES_tradnl"/>
        </w:rPr>
        <w:t>:</w:t>
      </w:r>
      <w:r w:rsidR="002760FF" w:rsidRPr="00EA51D0">
        <w:rPr>
          <w:rFonts w:asciiTheme="minorHAnsi" w:hAnsiTheme="minorHAnsi" w:cstheme="minorHAnsi"/>
          <w:sz w:val="20"/>
          <w:szCs w:val="20"/>
          <w:lang w:val="es-ES_tradnl"/>
        </w:rPr>
        <w:t xml:space="preserve"> </w:t>
      </w:r>
      <w:r w:rsidRPr="00EA51D0">
        <w:rPr>
          <w:rFonts w:asciiTheme="minorHAnsi" w:hAnsiTheme="minorHAnsi" w:cstheme="minorHAnsi"/>
          <w:sz w:val="20"/>
          <w:szCs w:val="20"/>
          <w:lang w:val="es-ES_tradnl"/>
        </w:rPr>
        <w:t>Información sobre calificaciones globales del título y por asignaturas y tipo de enseñanza.</w:t>
      </w:r>
      <w:r w:rsidRPr="00EA51D0">
        <w:rPr>
          <w:rFonts w:asciiTheme="minorHAnsi" w:hAnsiTheme="minorHAnsi" w:cstheme="minorHAnsi"/>
          <w:sz w:val="20"/>
          <w:szCs w:val="20"/>
        </w:rPr>
        <w:t xml:space="preserve"> </w:t>
      </w:r>
      <w:hyperlink r:id="rId49" w:history="1">
        <w:r w:rsidR="002760FF" w:rsidRPr="00EA51D0">
          <w:rPr>
            <w:rStyle w:val="Hipervnculo"/>
            <w:rFonts w:asciiTheme="minorHAnsi" w:hAnsiTheme="minorHAnsi" w:cstheme="minorHAnsi"/>
            <w:sz w:val="20"/>
            <w:szCs w:val="20"/>
          </w:rPr>
          <w:t>https://data.uca.es/lincebi</w:t>
        </w:r>
      </w:hyperlink>
      <w:r w:rsidR="002760FF" w:rsidRPr="00EA51D0">
        <w:rPr>
          <w:rFonts w:asciiTheme="minorHAnsi" w:hAnsiTheme="minorHAnsi" w:cstheme="minorHAnsi"/>
          <w:color w:val="FF0000"/>
          <w:sz w:val="20"/>
          <w:szCs w:val="20"/>
        </w:rPr>
      </w:r>
      <w:proofErr w:type="spellStart"/>
      <w:r w:rsidR="002760FF" w:rsidRPr="00EA51D0">
        <w:rPr>
          <w:rFonts w:asciiTheme="minorHAnsi" w:hAnsiTheme="minorHAnsi" w:cstheme="minorHAnsi"/>
          <w:color w:val="FF0000"/>
          <w:sz w:val="20"/>
          <w:szCs w:val="20"/>
        </w:rPr>
      </w:r>
      <w:proofErr w:type="spellEnd"/>
      <w:r w:rsidR="002760FF" w:rsidRPr="00EA51D0">
        <w:rPr>
          <w:rFonts w:asciiTheme="minorHAnsi" w:hAnsiTheme="minorHAnsi" w:cstheme="minorHAnsi"/>
          <w:color w:val="FF0000"/>
          <w:sz w:val="20"/>
          <w:szCs w:val="20"/>
        </w:rPr>
      </w:r>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296"/>
        <w:gridCol w:w="1486"/>
        <w:gridCol w:w="1485"/>
        <w:gridCol w:w="1485"/>
        <w:gridCol w:w="1481"/>
        <w:gridCol w:w="1481"/>
      </w:tblGrid>
      <w:tr w:rsidR="00A312C8" w:rsidRPr="00E655F8" w14:paraId="43F380DD" w14:textId="77777777" w:rsidTr="008E18AA">
        <w:tc>
          <w:tcPr>
            <w:tcW w:w="641" w:type="pct"/>
            <w:tcBorders>
              <w:top w:val="single" w:sz="4" w:space="0" w:color="auto"/>
              <w:left w:val="single" w:sz="4" w:space="0" w:color="auto"/>
              <w:bottom w:val="single" w:sz="4" w:space="0" w:color="auto"/>
              <w:right w:val="single" w:sz="4" w:space="0" w:color="auto"/>
            </w:tcBorders>
          </w:tcPr>
          <w:p w14:paraId="22A68F67" w14:textId="77777777" w:rsidR="00A312C8" w:rsidRPr="00E655F8" w:rsidRDefault="00A312C8" w:rsidP="008E18AA">
            <w:pPr>
              <w:pStyle w:val="AGAETexto"/>
              <w:spacing w:before="0" w:after="0" w:line="240" w:lineRule="auto"/>
              <w:rPr>
                <w:rFonts w:ascii="Source Sans Pro" w:hAnsi="Source Sans Pro" w:cs="Tahoma"/>
                <w:color w:val="00B0F0"/>
                <w:sz w:val="18"/>
                <w:szCs w:val="18"/>
              </w:rPr>
            </w:pPr>
          </w:p>
        </w:tc>
        <w:tc>
          <w:tcPr>
            <w:tcW w:w="648" w:type="pct"/>
            <w:tcBorders>
              <w:top w:val="single" w:sz="4" w:space="0" w:color="auto"/>
              <w:left w:val="single" w:sz="4" w:space="0" w:color="auto"/>
              <w:bottom w:val="single" w:sz="4" w:space="0" w:color="auto"/>
              <w:right w:val="single" w:sz="4" w:space="0" w:color="auto"/>
            </w:tcBorders>
            <w:vAlign w:val="center"/>
            <w:hideMark/>
          </w:tcPr>
          <w:p w14:paraId="6AD82D4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r>
          </w:p>
        </w:tc>
        <w:tc>
          <w:tcPr>
            <w:tcW w:w="743" w:type="pct"/>
            <w:tcBorders>
              <w:top w:val="single" w:sz="4" w:space="0" w:color="auto"/>
              <w:left w:val="single" w:sz="4" w:space="0" w:color="auto"/>
              <w:bottom w:val="single" w:sz="4" w:space="0" w:color="auto"/>
              <w:right w:val="single" w:sz="4" w:space="0" w:color="auto"/>
            </w:tcBorders>
            <w:vAlign w:val="center"/>
            <w:hideMark/>
          </w:tcPr>
          <w:p w14:paraId="024D9B8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r>
          </w:p>
        </w:tc>
        <w:tc>
          <w:tcPr>
            <w:tcW w:w="743" w:type="pct"/>
            <w:tcBorders>
              <w:top w:val="single" w:sz="4" w:space="0" w:color="auto"/>
              <w:left w:val="single" w:sz="4" w:space="0" w:color="auto"/>
              <w:bottom w:val="single" w:sz="4" w:space="0" w:color="auto"/>
              <w:right w:val="single" w:sz="4" w:space="0" w:color="auto"/>
            </w:tcBorders>
            <w:vAlign w:val="center"/>
            <w:hideMark/>
          </w:tcPr>
          <w:p w14:paraId="7653DCB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r>
          </w:p>
        </w:tc>
        <w:tc>
          <w:tcPr>
            <w:tcW w:w="743" w:type="pct"/>
            <w:tcBorders>
              <w:top w:val="single" w:sz="4" w:space="0" w:color="auto"/>
              <w:left w:val="single" w:sz="4" w:space="0" w:color="auto"/>
              <w:bottom w:val="single" w:sz="4" w:space="0" w:color="auto"/>
              <w:right w:val="single" w:sz="4" w:space="0" w:color="auto"/>
            </w:tcBorders>
            <w:vAlign w:val="center"/>
            <w:hideMark/>
          </w:tcPr>
          <w:p w14:paraId="0A471015"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r>
          </w:p>
        </w:tc>
        <w:tc>
          <w:tcPr>
            <w:tcW w:w="741" w:type="pct"/>
            <w:tcBorders>
              <w:top w:val="single" w:sz="4" w:space="0" w:color="auto"/>
              <w:left w:val="single" w:sz="4" w:space="0" w:color="auto"/>
              <w:bottom w:val="single" w:sz="4" w:space="0" w:color="auto"/>
              <w:right w:val="single" w:sz="4" w:space="0" w:color="auto"/>
            </w:tcBorders>
          </w:tcPr>
          <w:p>
            <w:r>
              <w:t>No presentados</w:t>
            </w:r>
          </w:p>
        </w:tc>
        <w:tc>
          <w:tcPr>
            <w:tcW w:w="741" w:type="pct"/>
            <w:tcBorders>
              <w:top w:val="single" w:sz="4" w:space="0" w:color="auto"/>
              <w:left w:val="single" w:sz="4" w:space="0" w:color="auto"/>
              <w:bottom w:val="single" w:sz="4" w:space="0" w:color="auto"/>
              <w:right w:val="single" w:sz="4" w:space="0" w:color="auto"/>
            </w:tcBorders>
            <w:vAlign w:val="center"/>
            <w:hideMark/>
          </w:tcPr>
          <w:p w14:paraId="44D1E964" w14:textId="77777777" w:rsidR="00A312C8" w:rsidRPr="00E655F8" w:rsidRDefault="00A312C8" w:rsidP="008E18AA">
            <w:pPr>
              <w:pStyle w:val="AGAETexto"/>
              <w:spacing w:before="0" w:after="0" w:line="240" w:lineRule="auto"/>
              <w:jc w:val="center"/>
              <w:rPr>
                <w:rFonts w:ascii="Source Sans Pro" w:hAnsi="Source Sans Pro" w:cs="Tahoma"/>
                <w:color w:val="00B0F0"/>
                <w:sz w:val="18"/>
                <w:szCs w:val="18"/>
              </w:rPr>
            </w:pPr>
            <w:r w:rsidRPr="00E655F8">
              <w:rPr>
                <w:rFonts w:ascii="Source Sans Pro" w:hAnsi="Source Sans Pro" w:cs="Tahoma"/>
                <w:color w:val="00B0F0"/>
                <w:sz w:val="18"/>
                <w:szCs w:val="18"/>
              </w:rPr>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r>
              <w:t>Trabajo Fin de Grado</w:t>
            </w:r>
          </w:p>
        </w:tc>
        <w:tc>
          <w:tcPr>
            <w:tcW w:w="648" w:type="pct"/>
            <w:tcBorders>
              <w:top w:val="single" w:sz="4" w:space="0" w:color="auto"/>
              <w:left w:val="single" w:sz="4" w:space="0" w:color="auto"/>
              <w:bottom w:val="single" w:sz="4" w:space="0" w:color="auto"/>
              <w:right w:val="single" w:sz="4" w:space="0" w:color="auto"/>
            </w:tcBorders>
            <w:vAlign w:val="center"/>
          </w:tcPr>
          <w:p>
            <w:r>
              <w:t>1%</w:t>
            </w:r>
          </w:p>
        </w:tc>
        <w:tc>
          <w:tcPr>
            <w:tcW w:w="743" w:type="pct"/>
            <w:tcBorders>
              <w:top w:val="single" w:sz="4" w:space="0" w:color="auto"/>
              <w:left w:val="single" w:sz="4" w:space="0" w:color="auto"/>
              <w:bottom w:val="single" w:sz="4" w:space="0" w:color="auto"/>
              <w:right w:val="single" w:sz="4" w:space="0" w:color="auto"/>
            </w:tcBorders>
            <w:vAlign w:val="center"/>
          </w:tcPr>
          <w:p>
            <w:r>
              <w:t>11%</w:t>
            </w:r>
          </w:p>
        </w:tc>
        <w:tc>
          <w:tcPr>
            <w:tcW w:w="743" w:type="pct"/>
            <w:tcBorders>
              <w:top w:val="single" w:sz="4" w:space="0" w:color="auto"/>
              <w:left w:val="single" w:sz="4" w:space="0" w:color="auto"/>
              <w:bottom w:val="single" w:sz="4" w:space="0" w:color="auto"/>
              <w:right w:val="single" w:sz="4" w:space="0" w:color="auto"/>
            </w:tcBorders>
            <w:vAlign w:val="center"/>
          </w:tcPr>
          <w:p>
            <w:r>
              <w:t>21%</w:t>
            </w:r>
          </w:p>
        </w:tc>
        <w:tc>
          <w:tcPr>
            <w:tcW w:w="743" w:type="pct"/>
            <w:tcBorders>
              <w:top w:val="single" w:sz="4" w:space="0" w:color="auto"/>
              <w:left w:val="single" w:sz="4" w:space="0" w:color="auto"/>
              <w:bottom w:val="single" w:sz="4" w:space="0" w:color="auto"/>
              <w:right w:val="single" w:sz="4" w:space="0" w:color="auto"/>
            </w:tcBorders>
            <w:vAlign w:val="center"/>
          </w:tcPr>
          <w:p>
            <w:r>
              <w:t>11%</w:t>
            </w:r>
          </w:p>
        </w:tc>
        <w:tc>
          <w:tcPr>
            <w:tcW w:w="741" w:type="pct"/>
            <w:tcBorders>
              <w:top w:val="single" w:sz="4" w:space="0" w:color="auto"/>
              <w:left w:val="single" w:sz="4" w:space="0" w:color="auto"/>
              <w:bottom w:val="single" w:sz="4" w:space="0" w:color="auto"/>
              <w:right w:val="single" w:sz="4" w:space="0" w:color="auto"/>
            </w:tcBorders>
          </w:tcPr>
          <w:p>
            <w:r>
              <w:t>48%</w:t>
            </w:r>
          </w:p>
        </w:tc>
        <w:tc>
          <w:tcPr>
            <w:tcW w:w="741" w:type="pct"/>
            <w:tcBorders>
              <w:top w:val="single" w:sz="4" w:space="0" w:color="auto"/>
              <w:left w:val="single" w:sz="4" w:space="0" w:color="auto"/>
              <w:bottom w:val="single" w:sz="4" w:space="0" w:color="auto"/>
              <w:right w:val="single" w:sz="4" w:space="0" w:color="auto"/>
            </w:tcBorders>
            <w:vAlign w:val="center"/>
          </w:tcPr>
          <w:p>
            <w:r>
              <w:t>5%</w:t>
            </w:r>
          </w:p>
        </w:tc>
      </w:tr>
      <w:tr w:rsidR="00A312C8" w:rsidRPr="00E655F8" w14:paraId="65CA5494" w14:textId="77777777" w:rsidTr="008E18AA">
        <w:tc>
          <w:tcPr>
            <w:tcW w:w="641" w:type="pct"/>
            <w:tcBorders>
              <w:top w:val="single" w:sz="4" w:space="0" w:color="auto"/>
              <w:left w:val="single" w:sz="4" w:space="0" w:color="auto"/>
              <w:bottom w:val="single" w:sz="4" w:space="0" w:color="auto"/>
              <w:right w:val="single" w:sz="4" w:space="0" w:color="auto"/>
            </w:tcBorders>
            <w:hideMark/>
          </w:tcPr>
          <w:p>
            <w:r>
              <w:t>Mecánica del Vuelo (mención en Aeronaves)</w:t>
            </w:r>
          </w:p>
        </w:tc>
        <w:tc>
          <w:tcPr>
            <w:tcW w:w="648" w:type="pct"/>
            <w:tcBorders>
              <w:top w:val="single" w:sz="4" w:space="0" w:color="auto"/>
              <w:left w:val="single" w:sz="4" w:space="0" w:color="auto"/>
              <w:bottom w:val="single" w:sz="4" w:space="0" w:color="auto"/>
              <w:right w:val="single" w:sz="4" w:space="0" w:color="auto"/>
            </w:tcBorders>
            <w:vAlign w:val="center"/>
          </w:tcPr>
          <w:p>
            <w:r>
              <w:t>16%</w:t>
            </w:r>
          </w:p>
        </w:tc>
        <w:tc>
          <w:tcPr>
            <w:tcW w:w="743" w:type="pct"/>
            <w:tcBorders>
              <w:top w:val="single" w:sz="4" w:space="0" w:color="auto"/>
              <w:left w:val="single" w:sz="4" w:space="0" w:color="auto"/>
              <w:bottom w:val="single" w:sz="4" w:space="0" w:color="auto"/>
              <w:right w:val="single" w:sz="4" w:space="0" w:color="auto"/>
            </w:tcBorders>
            <w:vAlign w:val="center"/>
          </w:tcPr>
          <w:p>
            <w:r>
              <w:t>33%</w:t>
            </w:r>
          </w:p>
        </w:tc>
        <w:tc>
          <w:tcPr>
            <w:tcW w:w="743" w:type="pct"/>
            <w:tcBorders>
              <w:top w:val="single" w:sz="4" w:space="0" w:color="auto"/>
              <w:left w:val="single" w:sz="4" w:space="0" w:color="auto"/>
              <w:bottom w:val="single" w:sz="4" w:space="0" w:color="auto"/>
              <w:right w:val="single" w:sz="4" w:space="0" w:color="auto"/>
            </w:tcBorders>
            <w:vAlign w:val="center"/>
          </w:tcPr>
          <w:p>
            <w:r>
              <w:t>4%</w:t>
            </w:r>
          </w:p>
        </w:tc>
        <w:tc>
          <w:tcPr>
            <w:tcW w:w="743" w:type="pct"/>
            <w:tcBorders>
              <w:top w:val="single" w:sz="4" w:space="0" w:color="auto"/>
              <w:left w:val="single" w:sz="4" w:space="0" w:color="auto"/>
              <w:bottom w:val="single" w:sz="4" w:space="0" w:color="auto"/>
              <w:right w:val="single" w:sz="4" w:space="0" w:color="auto"/>
            </w:tcBorders>
            <w:vAlign w:val="center"/>
          </w:tcPr>
          <w:p>
            <w:r>
              <w:t>0%</w:t>
            </w:r>
          </w:p>
        </w:tc>
        <w:tc>
          <w:tcPr>
            <w:tcW w:w="741" w:type="pct"/>
            <w:tcBorders>
              <w:top w:val="single" w:sz="4" w:space="0" w:color="auto"/>
              <w:left w:val="single" w:sz="4" w:space="0" w:color="auto"/>
              <w:bottom w:val="single" w:sz="4" w:space="0" w:color="auto"/>
              <w:right w:val="single" w:sz="4" w:space="0" w:color="auto"/>
            </w:tcBorders>
          </w:tcPr>
          <w:p>
            <w:r>
              <w:t>45%</w:t>
            </w:r>
          </w:p>
        </w:tc>
        <w:tc>
          <w:tcPr>
            <w:tcW w:w="741" w:type="pct"/>
            <w:tcBorders>
              <w:top w:val="single" w:sz="4" w:space="0" w:color="auto"/>
              <w:left w:val="single" w:sz="4" w:space="0" w:color="auto"/>
              <w:bottom w:val="single" w:sz="4" w:space="0" w:color="auto"/>
              <w:right w:val="single" w:sz="4" w:space="0" w:color="auto"/>
            </w:tcBorders>
            <w:vAlign w:val="center"/>
          </w:tcPr>
          <w:p>
            <w:r>
              <w:t>1%</w:t>
            </w:r>
          </w:p>
        </w:tc>
      </w:tr>
      <w:tr w:rsidR="00A312C8" w:rsidRPr="00E655F8" w14:paraId="2F439818" w14:textId="77777777" w:rsidTr="008E18AA">
        <w:tc>
          <w:tcPr>
            <w:tcW w:w="641" w:type="pct"/>
            <w:tcBorders>
              <w:top w:val="single" w:sz="4" w:space="0" w:color="auto"/>
              <w:left w:val="single" w:sz="4" w:space="0" w:color="auto"/>
              <w:bottom w:val="single" w:sz="4" w:space="0" w:color="auto"/>
              <w:right w:val="single" w:sz="4" w:space="0" w:color="auto"/>
            </w:tcBorders>
            <w:hideMark/>
          </w:tcPr>
          <w:p>
            <w:r>
              <w:t>Motores de Aeronaves (*)</w:t>
            </w:r>
          </w:p>
        </w:tc>
        <w:tc>
          <w:tcPr>
            <w:tcW w:w="648" w:type="pct"/>
            <w:tcBorders>
              <w:top w:val="single" w:sz="4" w:space="0" w:color="auto"/>
              <w:left w:val="single" w:sz="4" w:space="0" w:color="auto"/>
              <w:bottom w:val="single" w:sz="4" w:space="0" w:color="auto"/>
              <w:right w:val="single" w:sz="4" w:space="0" w:color="auto"/>
            </w:tcBorders>
            <w:vAlign w:val="center"/>
          </w:tcPr>
          <w:p>
            <w:r>
              <w:t>37%</w:t>
            </w:r>
          </w:p>
        </w:tc>
        <w:tc>
          <w:tcPr>
            <w:tcW w:w="743" w:type="pct"/>
            <w:tcBorders>
              <w:top w:val="single" w:sz="4" w:space="0" w:color="auto"/>
              <w:left w:val="single" w:sz="4" w:space="0" w:color="auto"/>
              <w:bottom w:val="single" w:sz="4" w:space="0" w:color="auto"/>
              <w:right w:val="single" w:sz="4" w:space="0" w:color="auto"/>
            </w:tcBorders>
            <w:vAlign w:val="center"/>
          </w:tcPr>
          <w:p>
            <w:r>
              <w:t>49%</w:t>
            </w:r>
          </w:p>
        </w:tc>
        <w:tc>
          <w:tcPr>
            <w:tcW w:w="743" w:type="pct"/>
            <w:tcBorders>
              <w:top w:val="single" w:sz="4" w:space="0" w:color="auto"/>
              <w:left w:val="single" w:sz="4" w:space="0" w:color="auto"/>
              <w:bottom w:val="single" w:sz="4" w:space="0" w:color="auto"/>
              <w:right w:val="single" w:sz="4" w:space="0" w:color="auto"/>
            </w:tcBorders>
            <w:vAlign w:val="center"/>
          </w:tcPr>
          <w:p>
            <w:r>
              <w:t>5%</w:t>
            </w:r>
          </w:p>
        </w:tc>
        <w:tc>
          <w:tcPr>
            <w:tcW w:w="743" w:type="pct"/>
            <w:tcBorders>
              <w:top w:val="single" w:sz="4" w:space="0" w:color="auto"/>
              <w:left w:val="single" w:sz="4" w:space="0" w:color="auto"/>
              <w:bottom w:val="single" w:sz="4" w:space="0" w:color="auto"/>
              <w:right w:val="single" w:sz="4" w:space="0" w:color="auto"/>
            </w:tcBorders>
            <w:vAlign w:val="center"/>
          </w:tcPr>
          <w:p>
            <w:r>
              <w:t>0%</w:t>
            </w:r>
          </w:p>
        </w:tc>
        <w:tc>
          <w:tcPr>
            <w:tcW w:w="741" w:type="pct"/>
            <w:tcBorders>
              <w:top w:val="single" w:sz="4" w:space="0" w:color="auto"/>
              <w:left w:val="single" w:sz="4" w:space="0" w:color="auto"/>
              <w:bottom w:val="single" w:sz="4" w:space="0" w:color="auto"/>
              <w:right w:val="single" w:sz="4" w:space="0" w:color="auto"/>
            </w:tcBorders>
          </w:tcPr>
          <w:p>
            <w:r>
              <w:t>9%</w:t>
            </w:r>
          </w:p>
        </w:tc>
        <w:tc>
          <w:tcPr>
            <w:tcW w:w="741" w:type="pct"/>
            <w:tcBorders>
              <w:top w:val="single" w:sz="4" w:space="0" w:color="auto"/>
              <w:left w:val="single" w:sz="4" w:space="0" w:color="auto"/>
              <w:bottom w:val="single" w:sz="4" w:space="0" w:color="auto"/>
              <w:right w:val="single" w:sz="4" w:space="0" w:color="auto"/>
            </w:tcBorders>
            <w:vAlign w:val="center"/>
          </w:tcPr>
          <w:p>
            <w: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r>
              <w:t>Fundamentos de Informática</w:t>
            </w:r>
          </w:p>
        </w:tc>
        <w:tc>
          <w:tcPr>
            <w:tcW w:w="648" w:type="pct"/>
            <w:tcBorders>
              <w:top w:val="single" w:sz="4" w:space="0" w:color="auto"/>
              <w:left w:val="single" w:sz="4" w:space="0" w:color="auto"/>
              <w:bottom w:val="single" w:sz="4" w:space="0" w:color="auto"/>
              <w:right w:val="single" w:sz="4" w:space="0" w:color="auto"/>
            </w:tcBorders>
            <w:vAlign w:val="center"/>
          </w:tcPr>
          <w:p>
            <w:r>
              <w:t>34%</w:t>
            </w:r>
          </w:p>
        </w:tc>
        <w:tc>
          <w:tcPr>
            <w:tcW w:w="743" w:type="pct"/>
            <w:tcBorders>
              <w:top w:val="single" w:sz="4" w:space="0" w:color="auto"/>
              <w:left w:val="single" w:sz="4" w:space="0" w:color="auto"/>
              <w:bottom w:val="single" w:sz="4" w:space="0" w:color="auto"/>
              <w:right w:val="single" w:sz="4" w:space="0" w:color="auto"/>
            </w:tcBorders>
            <w:vAlign w:val="center"/>
          </w:tcPr>
          <w:p>
            <w:r>
              <w:t>33%</w:t>
            </w:r>
          </w:p>
        </w:tc>
        <w:tc>
          <w:tcPr>
            <w:tcW w:w="743" w:type="pct"/>
            <w:tcBorders>
              <w:top w:val="single" w:sz="4" w:space="0" w:color="auto"/>
              <w:left w:val="single" w:sz="4" w:space="0" w:color="auto"/>
              <w:bottom w:val="single" w:sz="4" w:space="0" w:color="auto"/>
              <w:right w:val="single" w:sz="4" w:space="0" w:color="auto"/>
            </w:tcBorders>
            <w:vAlign w:val="center"/>
          </w:tcPr>
          <w:p>
            <w:r>
              <w:t>10%</w:t>
            </w:r>
          </w:p>
        </w:tc>
        <w:tc>
          <w:tcPr>
            <w:tcW w:w="743" w:type="pct"/>
            <w:tcBorders>
              <w:top w:val="single" w:sz="4" w:space="0" w:color="auto"/>
              <w:left w:val="single" w:sz="4" w:space="0" w:color="auto"/>
              <w:bottom w:val="single" w:sz="4" w:space="0" w:color="auto"/>
              <w:right w:val="single" w:sz="4" w:space="0" w:color="auto"/>
            </w:tcBorders>
            <w:vAlign w:val="center"/>
          </w:tcPr>
          <w:p>
            <w:r>
              <w:t>0%</w:t>
            </w:r>
          </w:p>
        </w:tc>
        <w:tc>
          <w:tcPr>
            <w:tcW w:w="741" w:type="pct"/>
            <w:tcBorders>
              <w:top w:val="single" w:sz="4" w:space="0" w:color="auto"/>
              <w:left w:val="single" w:sz="4" w:space="0" w:color="auto"/>
              <w:bottom w:val="single" w:sz="4" w:space="0" w:color="auto"/>
              <w:right w:val="single" w:sz="4" w:space="0" w:color="auto"/>
            </w:tcBorders>
          </w:tcPr>
          <w:p>
            <w:r>
              <w:t>23%</w:t>
            </w:r>
          </w:p>
        </w:tc>
        <w:tc>
          <w:tcPr>
            <w:tcW w:w="741" w:type="pct"/>
            <w:tcBorders>
              <w:top w:val="single" w:sz="4" w:space="0" w:color="auto"/>
              <w:left w:val="single" w:sz="4" w:space="0" w:color="auto"/>
              <w:bottom w:val="single" w:sz="4" w:space="0" w:color="auto"/>
              <w:right w:val="single" w:sz="4" w:space="0" w:color="auto"/>
            </w:tcBorders>
            <w:vAlign w:val="center"/>
          </w:tcPr>
          <w:p>
            <w: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r>
              <w:t>Cálculo</w:t>
            </w:r>
          </w:p>
        </w:tc>
        <w:tc>
          <w:tcPr>
            <w:tcW w:w="648" w:type="pct"/>
            <w:tcBorders>
              <w:top w:val="single" w:sz="4" w:space="0" w:color="auto"/>
              <w:left w:val="single" w:sz="4" w:space="0" w:color="auto"/>
              <w:bottom w:val="single" w:sz="4" w:space="0" w:color="auto"/>
              <w:right w:val="single" w:sz="4" w:space="0" w:color="auto"/>
            </w:tcBorders>
            <w:vAlign w:val="center"/>
          </w:tcPr>
          <w:p>
            <w:r>
              <w:t>10%</w:t>
            </w:r>
          </w:p>
        </w:tc>
        <w:tc>
          <w:tcPr>
            <w:tcW w:w="743" w:type="pct"/>
            <w:tcBorders>
              <w:top w:val="single" w:sz="4" w:space="0" w:color="auto"/>
              <w:left w:val="single" w:sz="4" w:space="0" w:color="auto"/>
              <w:bottom w:val="single" w:sz="4" w:space="0" w:color="auto"/>
              <w:right w:val="single" w:sz="4" w:space="0" w:color="auto"/>
            </w:tcBorders>
            <w:vAlign w:val="center"/>
          </w:tcPr>
          <w:p>
            <w:r>
              <w:t>56%</w:t>
            </w:r>
          </w:p>
        </w:tc>
        <w:tc>
          <w:tcPr>
            <w:tcW w:w="743" w:type="pct"/>
            <w:tcBorders>
              <w:top w:val="single" w:sz="4" w:space="0" w:color="auto"/>
              <w:left w:val="single" w:sz="4" w:space="0" w:color="auto"/>
              <w:bottom w:val="single" w:sz="4" w:space="0" w:color="auto"/>
              <w:right w:val="single" w:sz="4" w:space="0" w:color="auto"/>
            </w:tcBorders>
            <w:vAlign w:val="center"/>
          </w:tcPr>
          <w:p>
            <w:r>
              <w:t>26%</w:t>
            </w:r>
          </w:p>
        </w:tc>
        <w:tc>
          <w:tcPr>
            <w:tcW w:w="743" w:type="pct"/>
            <w:tcBorders>
              <w:top w:val="single" w:sz="4" w:space="0" w:color="auto"/>
              <w:left w:val="single" w:sz="4" w:space="0" w:color="auto"/>
              <w:bottom w:val="single" w:sz="4" w:space="0" w:color="auto"/>
              <w:right w:val="single" w:sz="4" w:space="0" w:color="auto"/>
            </w:tcBorders>
            <w:vAlign w:val="center"/>
          </w:tcPr>
          <w:p>
            <w:r>
              <w:t>0%</w:t>
            </w:r>
          </w:p>
        </w:tc>
        <w:tc>
          <w:tcPr>
            <w:tcW w:w="741" w:type="pct"/>
            <w:tcBorders>
              <w:top w:val="single" w:sz="4" w:space="0" w:color="auto"/>
              <w:left w:val="single" w:sz="4" w:space="0" w:color="auto"/>
              <w:bottom w:val="single" w:sz="4" w:space="0" w:color="auto"/>
              <w:right w:val="single" w:sz="4" w:space="0" w:color="auto"/>
            </w:tcBorders>
          </w:tcPr>
          <w:p>
            <w:r>
              <w:t>8%</w:t>
            </w:r>
          </w:p>
        </w:tc>
        <w:tc>
          <w:tcPr>
            <w:tcW w:w="741" w:type="pct"/>
            <w:tcBorders>
              <w:top w:val="single" w:sz="4" w:space="0" w:color="auto"/>
              <w:left w:val="single" w:sz="4" w:space="0" w:color="auto"/>
              <w:bottom w:val="single" w:sz="4" w:space="0" w:color="auto"/>
              <w:right w:val="single" w:sz="4" w:space="0" w:color="auto"/>
            </w:tcBorders>
            <w:vAlign w:val="center"/>
          </w:tcPr>
          <w:p>
            <w:r>
              <w:t>0%</w:t>
            </w:r>
          </w:p>
        </w:tc>
      </w:tr>
      <w:tr w:rsidR="00A312C8" w:rsidRPr="00E655F8" w14:paraId="2BA5D561" w14:textId="77777777" w:rsidTr="008E18AA">
        <w:tc>
          <w:tcPr>
            <w:tcW w:w="641" w:type="pct"/>
            <w:tcBorders>
              <w:top w:val="single" w:sz="4" w:space="0" w:color="auto"/>
              <w:left w:val="single" w:sz="4" w:space="0" w:color="auto"/>
              <w:bottom w:val="single" w:sz="4" w:space="0" w:color="auto"/>
              <w:right w:val="single" w:sz="4" w:space="0" w:color="auto"/>
            </w:tcBorders>
            <w:hideMark/>
          </w:tcPr>
          <w:p>
            <w:r>
              <w:t>Tecnologías de Conformado</w:t>
            </w:r>
          </w:p>
        </w:tc>
        <w:tc>
          <w:tcPr>
            <w:tcW w:w="648" w:type="pct"/>
            <w:tcBorders>
              <w:top w:val="single" w:sz="4" w:space="0" w:color="auto"/>
              <w:left w:val="single" w:sz="4" w:space="0" w:color="auto"/>
              <w:bottom w:val="single" w:sz="4" w:space="0" w:color="auto"/>
              <w:right w:val="single" w:sz="4" w:space="0" w:color="auto"/>
            </w:tcBorders>
            <w:vAlign w:val="center"/>
          </w:tcPr>
          <w:p>
            <w:r>
              <w:t>0%</w:t>
            </w:r>
          </w:p>
        </w:tc>
        <w:tc>
          <w:tcPr>
            <w:tcW w:w="743" w:type="pct"/>
            <w:tcBorders>
              <w:top w:val="single" w:sz="4" w:space="0" w:color="auto"/>
              <w:left w:val="single" w:sz="4" w:space="0" w:color="auto"/>
              <w:bottom w:val="single" w:sz="4" w:space="0" w:color="auto"/>
              <w:right w:val="single" w:sz="4" w:space="0" w:color="auto"/>
            </w:tcBorders>
            <w:vAlign w:val="center"/>
          </w:tcPr>
          <w:p>
            <w:r>
              <w:t>16%</w:t>
            </w:r>
          </w:p>
        </w:tc>
        <w:tc>
          <w:tcPr>
            <w:tcW w:w="743" w:type="pct"/>
            <w:tcBorders>
              <w:top w:val="single" w:sz="4" w:space="0" w:color="auto"/>
              <w:left w:val="single" w:sz="4" w:space="0" w:color="auto"/>
              <w:bottom w:val="single" w:sz="4" w:space="0" w:color="auto"/>
              <w:right w:val="single" w:sz="4" w:space="0" w:color="auto"/>
            </w:tcBorders>
            <w:vAlign w:val="center"/>
          </w:tcPr>
          <w:p>
            <w:r>
              <w:t>84%</w:t>
            </w:r>
          </w:p>
        </w:tc>
        <w:tc>
          <w:tcPr>
            <w:tcW w:w="743" w:type="pct"/>
            <w:tcBorders>
              <w:top w:val="single" w:sz="4" w:space="0" w:color="auto"/>
              <w:left w:val="single" w:sz="4" w:space="0" w:color="auto"/>
              <w:bottom w:val="single" w:sz="4" w:space="0" w:color="auto"/>
              <w:right w:val="single" w:sz="4" w:space="0" w:color="auto"/>
            </w:tcBorders>
            <w:vAlign w:val="center"/>
          </w:tcPr>
          <w:p>
            <w:r>
              <w:t>0%</w:t>
            </w:r>
          </w:p>
        </w:tc>
        <w:tc>
          <w:tcPr>
            <w:tcW w:w="741" w:type="pct"/>
            <w:tcBorders>
              <w:top w:val="single" w:sz="4" w:space="0" w:color="auto"/>
              <w:left w:val="single" w:sz="4" w:space="0" w:color="auto"/>
              <w:bottom w:val="single" w:sz="4" w:space="0" w:color="auto"/>
              <w:right w:val="single" w:sz="4" w:space="0" w:color="auto"/>
            </w:tcBorders>
          </w:tcPr>
          <w:p>
            <w:r>
              <w:t>0%</w:t>
            </w:r>
          </w:p>
        </w:tc>
        <w:tc>
          <w:tcPr>
            <w:tcW w:w="741" w:type="pct"/>
            <w:tcBorders>
              <w:top w:val="single" w:sz="4" w:space="0" w:color="auto"/>
              <w:left w:val="single" w:sz="4" w:space="0" w:color="auto"/>
              <w:bottom w:val="single" w:sz="4" w:space="0" w:color="auto"/>
              <w:right w:val="single" w:sz="4" w:space="0" w:color="auto"/>
            </w:tcBorders>
            <w:vAlign w:val="center"/>
          </w:tcPr>
          <w:p>
            <w:r>
              <w:t>0%</w:t>
            </w:r>
          </w:p>
        </w:tc>
      </w:tr>
      <w:tr w:rsidR="00A312C8" w:rsidRPr="00E655F8" w14:paraId="1CFD962E" w14:textId="77777777" w:rsidTr="008E18AA">
        <w:tc>
          <w:tcPr>
            <w:tcW w:w="641" w:type="pct"/>
            <w:tcBorders>
              <w:top w:val="single" w:sz="4" w:space="0" w:color="auto"/>
              <w:left w:val="single" w:sz="4" w:space="0" w:color="auto"/>
              <w:bottom w:val="single" w:sz="4" w:space="0" w:color="auto"/>
              <w:right w:val="single" w:sz="4" w:space="0" w:color="auto"/>
            </w:tcBorders>
            <w:hideMark/>
          </w:tcPr>
          <w:p>
            <w:r>
              <w:t>GLOBAL (totales del plan)</w:t>
            </w:r>
          </w:p>
        </w:tc>
        <w:tc>
          <w:tcPr>
            <w:tcW w:w="648" w:type="pct"/>
            <w:tcBorders>
              <w:top w:val="single" w:sz="4" w:space="0" w:color="auto"/>
              <w:left w:val="single" w:sz="4" w:space="0" w:color="auto"/>
              <w:bottom w:val="single" w:sz="4" w:space="0" w:color="auto"/>
              <w:right w:val="single" w:sz="4" w:space="0" w:color="auto"/>
            </w:tcBorders>
            <w:hideMark/>
          </w:tcPr>
          <w:p>
            <w:r>
              <w:t>13%</w:t>
            </w:r>
          </w:p>
        </w:tc>
        <w:tc>
          <w:tcPr>
            <w:tcW w:w="743" w:type="pct"/>
            <w:tcBorders>
              <w:top w:val="single" w:sz="4" w:space="0" w:color="auto"/>
              <w:left w:val="single" w:sz="4" w:space="0" w:color="auto"/>
              <w:bottom w:val="single" w:sz="4" w:space="0" w:color="auto"/>
              <w:right w:val="single" w:sz="4" w:space="0" w:color="auto"/>
            </w:tcBorders>
            <w:hideMark/>
          </w:tcPr>
          <w:p>
            <w:r>
              <w:t>40%</w:t>
            </w:r>
          </w:p>
        </w:tc>
        <w:tc>
          <w:tcPr>
            <w:tcW w:w="743" w:type="pct"/>
            <w:tcBorders>
              <w:top w:val="single" w:sz="4" w:space="0" w:color="auto"/>
              <w:left w:val="single" w:sz="4" w:space="0" w:color="auto"/>
              <w:bottom w:val="single" w:sz="4" w:space="0" w:color="auto"/>
              <w:right w:val="single" w:sz="4" w:space="0" w:color="auto"/>
            </w:tcBorders>
            <w:hideMark/>
          </w:tcPr>
          <w:p>
            <w:r>
              <w:t>23%</w:t>
            </w:r>
          </w:p>
        </w:tc>
        <w:tc>
          <w:tcPr>
            <w:tcW w:w="743" w:type="pct"/>
            <w:tcBorders>
              <w:top w:val="single" w:sz="4" w:space="0" w:color="auto"/>
              <w:left w:val="single" w:sz="4" w:space="0" w:color="auto"/>
              <w:bottom w:val="single" w:sz="4" w:space="0" w:color="auto"/>
              <w:right w:val="single" w:sz="4" w:space="0" w:color="auto"/>
            </w:tcBorders>
            <w:hideMark/>
          </w:tcPr>
          <w:p>
            <w:r>
              <w:t>3%</w:t>
            </w:r>
          </w:p>
        </w:tc>
        <w:tc>
          <w:tcPr>
            <w:tcW w:w="741" w:type="pct"/>
            <w:tcBorders>
              <w:top w:val="single" w:sz="4" w:space="0" w:color="auto"/>
              <w:left w:val="single" w:sz="4" w:space="0" w:color="auto"/>
              <w:bottom w:val="single" w:sz="4" w:space="0" w:color="auto"/>
              <w:right w:val="single" w:sz="4" w:space="0" w:color="auto"/>
            </w:tcBorders>
          </w:tcPr>
          <w:p>
            <w:r>
              <w:t>17%</w:t>
            </w:r>
          </w:p>
        </w:tc>
        <w:tc>
          <w:tcPr>
            <w:tcW w:w="741" w:type="pct"/>
            <w:tcBorders>
              <w:top w:val="single" w:sz="4" w:space="0" w:color="auto"/>
              <w:left w:val="single" w:sz="4" w:space="0" w:color="auto"/>
              <w:bottom w:val="single" w:sz="4" w:space="0" w:color="auto"/>
              <w:right w:val="single" w:sz="4" w:space="0" w:color="auto"/>
            </w:tcBorders>
            <w:hideMark/>
          </w:tcPr>
          <w:p>
            <w:r>
              <w:t>0%</w:t>
            </w:r>
          </w:p>
        </w:tc>
      </w:tr>
    </w:tbl>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 Aprobados incluye el 2% de aprobados por compensación. Porcentajes sobre el estudiantado matriculado en 2024-25 (plan 1716); la tabla completa por asignatura está en LinceBI.</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Calificaciones de 2024-25 (la tabla completa por asignatura está en LinceBI). En el conjunto del plan, el 17% de las calificaciones son no presentados, el 13% suspensos, el 40% aprobados, el 23% notables y el 3% sobresalientes. Las mayores tasas de suspenso se dan en Motores de Aeronaves (37%), Fundamentos de Informática (34%), Mecánica y Vibraciones (32%), Física II (32%) y Sistemas de Propulsión (31%); los mayores porcentajes de no presentados, en el TFG (48%) y en Mecánica del Vuelo (45% en la mención en Aeronaves y 50% en la de Equipos y Materiales Aeroespaciales).</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En el extremo opuesto, las asignaturas de intensificación obtienen resultados de excelencia: el 80% o más de notables y sobresalientes en Aeronaves, Tecnologías de Conformado y Métodos Numéricos Avanzados. La CGC trasladará a la coordinación las asignaturas con más de un 30% de suspensos para su análisis en las reuniones de coordinación (AM-ESI-3.1).</w:t>
      </w:r>
    </w:p>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14:paraId="56FBDDE4" w14:textId="65F4FD7F" w:rsidR="00791D71" w:rsidRPr="00EA51D0" w:rsidRDefault="00791D71" w:rsidP="008E286A">
      <w:pPr>
        <w:pStyle w:val="AGAETexto"/>
        <w:spacing w:before="0" w:after="0" w:line="240" w:lineRule="auto"/>
        <w:rPr>
          <w:rFonts w:asciiTheme="minorHAnsi" w:eastAsia="Times New Roman" w:hAnsiTheme="minorHAnsi" w:cstheme="minorHAnsi"/>
          <w:color w:val="000000"/>
          <w:sz w:val="20"/>
          <w:szCs w:val="20"/>
          <w:lang w:eastAsia="es-ES"/>
        </w:rPr>
      </w:pPr>
      <w:r w:rsidRPr="00EA51D0">
        <w:rPr>
          <w:rFonts w:asciiTheme="minorHAnsi" w:eastAsia="Times New Roman" w:hAnsiTheme="minorHAnsi" w:cstheme="minorHAnsi"/>
          <w:color w:val="000000"/>
          <w:sz w:val="20"/>
          <w:szCs w:val="20"/>
          <w:lang w:eastAsia="es-ES"/>
        </w:rPr>
        <w:t>Según el artículo 2.4 del Reglamento UCA/CG09/2022, de 26 de septiembre, sobre la evaluación de la satisfacción del estudiantado con la docencia recibida, el Director de la Escuela</w:t>
      </w:r>
      <w:r w:rsidR="00E462DB" w:rsidRPr="00EA51D0">
        <w:rPr>
          <w:rFonts w:asciiTheme="minorHAnsi" w:eastAsia="Times New Roman" w:hAnsiTheme="minorHAnsi" w:cstheme="minorHAnsi"/>
          <w:color w:val="000000"/>
          <w:sz w:val="20"/>
          <w:szCs w:val="20"/>
          <w:lang w:eastAsia="es-ES"/>
        </w:rPr>
        <w:t xml:space="preserve"> </w:t>
      </w:r>
      <w:r w:rsidR="00E462DB" w:rsidRPr="00EA51D0">
        <w:rPr>
          <w:rFonts w:asciiTheme="minorHAnsi" w:eastAsia="Times New Roman" w:hAnsiTheme="minorHAnsi" w:cstheme="minorHAnsi"/>
          <w:sz w:val="20"/>
          <w:szCs w:val="20"/>
          <w:lang w:eastAsia="es-ES"/>
        </w:rPr>
        <w:t>Superior de Ingeniería</w:t>
      </w:r>
      <w:r w:rsidR="00E462DB" w:rsidRPr="00EA51D0">
        <w:rPr>
          <w:rFonts w:asciiTheme="minorHAnsi" w:eastAsia="Times New Roman" w:hAnsiTheme="minorHAnsi" w:cstheme="minorHAnsi"/>
          <w:color w:val="000000"/>
          <w:sz w:val="20"/>
          <w:szCs w:val="20"/>
          <w:lang w:eastAsia="es-ES"/>
        </w:rPr>
        <w:t xml:space="preserve">, tiene acceso a todos los informes de resultados del grado de satisfacción con la docencia de todo el profesorado que imparte docencia en el Grado/Máster </w:t>
      </w:r>
      <w:r w:rsidR="00540A6A" w:rsidRPr="00EA51D0">
        <w:rPr>
          <w:rFonts w:asciiTheme="minorHAnsi" w:eastAsia="Times New Roman" w:hAnsiTheme="minorHAnsi" w:cstheme="minorHAnsi"/>
          <w:color w:val="000000"/>
          <w:sz w:val="20"/>
          <w:szCs w:val="20"/>
          <w:lang w:eastAsia="es-ES"/>
        </w:rPr>
        <w:t xml:space="preserve">en </w:t>
      </w:r>
      <w:r w:rsidR="00E462DB" w:rsidRPr="00EA51D0">
        <w:rPr>
          <w:rFonts w:asciiTheme="minorHAnsi" w:eastAsia="Times New Roman" w:hAnsiTheme="minorHAnsi" w:cstheme="minorHAnsi"/>
          <w:sz w:val="20"/>
          <w:szCs w:val="20"/>
          <w:lang w:eastAsia="es-ES"/>
        </w:rPr>
        <w:t>Ingeniería Aeroespacial</w:t>
      </w:r>
      <w:r w:rsidR="00E462DB" w:rsidRPr="00EA51D0">
        <w:rPr>
          <w:rFonts w:asciiTheme="minorHAnsi" w:eastAsia="Times New Roman" w:hAnsiTheme="minorHAnsi" w:cstheme="minorHAnsi"/>
          <w:color w:val="000000"/>
          <w:sz w:val="20"/>
          <w:szCs w:val="20"/>
          <w:lang w:eastAsia="es-ES"/>
        </w:rPr>
        <w:t xml:space="preserve">. Los informes están publicados en el </w:t>
      </w:r>
      <w:hyperlink r:id="rId50" w:history="1">
        <w:r w:rsidR="00E462DB" w:rsidRPr="00EA51D0">
          <w:rPr>
            <w:rStyle w:val="Hipervnculo"/>
            <w:rFonts w:asciiTheme="minorHAnsi" w:eastAsia="Times New Roman" w:hAnsiTheme="minorHAnsi" w:cstheme="minorHAnsi"/>
            <w:color w:val="0563C1"/>
            <w:sz w:val="20"/>
            <w:szCs w:val="20"/>
            <w:lang w:eastAsia="es-ES"/>
          </w:rPr>
          <w:t>Sistema de Información de la UCA</w:t>
        </w:r>
      </w:hyperlink>
      <w:r w:rsidR="00E462DB" w:rsidRPr="00EA51D0">
        <w:rPr>
          <w:rFonts w:asciiTheme="minorHAnsi" w:eastAsia="Times New Roman" w:hAnsiTheme="minorHAnsi" w:cstheme="minorHAnsi"/>
          <w:color w:val="000000"/>
          <w:sz w:val="20"/>
          <w:szCs w:val="20"/>
          <w:lang w:eastAsia="es-ES"/>
        </w:rPr>
        <w:t>, siendo todos ellos públicos excepto los informes individualizados del profesorado.</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satisfacción global del alumnado con el título (ISGC-P07-02) es de 3,68 sobre 5 en 2024-25, la más alta de la serie, por encima del centro (3,53) y la UCA (3,63); con la docencia, de 4,5 (ISGC-P05-04). La baja participación en la encuesta (17,58%) obliga a interpretar estos datos con cautela (PD-ESI-1.1).</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PF-ESI-6.1.- Las tasas de rendimiento (67,4%), eficiencia (73,4%), abandono (10,4%) y graduación (29,9%) cumplen o mejoran los valores de la memoria verificada y superan a las del centro.</w:t>
              <w:br/>
              <w:t>- PF-ESI-6.2.- Varias asignaturas de intensificación presentan resultados de excelencia (el 80% o más de notables y sobresalientes en Aeronaves, Tecnologías de Conformado y Métodos Numéricos Avanzados).</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PD-ESI-6.1.- El 48% del estudiantado matriculado en el TFG no se presenta y la duración media de los estudios aumenta a 6,4 años (5,7 en 2023-24).</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AM-ESI-6.1.- Seguimiento personalizado, por la coordinación, del estudiantado matriculado en el TFG sin trabajo asignado o sin defensa, con sesiones informativas por semestre y apoyo de la Comisión de TFG/M en la asignación de tutor.</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Además, la ESI organiza Jornadas de Bienvenida para el nuevo ingreso, participa en el Proyecto Acompáñame y ofrece actividades complementarias como ESI LAB y las asociaciones de estudiantes ligadas al título (Formula Gades, LEEM, UCAnAir y EUROAVIA).</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satisfacción con los programas de apoyo y orientación académica (ISGC-P06-01) es de 2,94 sobre 5 en 2024-25 (2,98 en 2023-24; centro 2,96; UCA 3,16) y con la orientación profesional (ISGC-P06-02), de 2,60 (2,71 en 2023-24; centro 2,81; UCA 2,99). Ambas siguen por debajo de la UCA, como señaló ACCUA (recomendación nº 15). Se mantiene la acción de difusión del plan de mejora y, si la orientación profesional no mejora en 2025-26, se tratará como punto débil.</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Los indicadores de egresados (Anexo 1) proceden de una encuesta a quienes terminaron dos o tres cursos antes. Desde la cohorte 2022-23 la UCA cambió la fórmula de cálculo, por lo que no son comparables con los de cohortes anteriores.</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En la cohorte 2023-24 respondieron 24 de 66 egresados (36,36%), la mayor participación de la serie (centro: 28,62%). La tasa de inserción en cualquier sector (ISGC-P07-05) es del 31,82%, superior al centro (27,21%) y la UCA (13,95%). De quienes trabajan, el 95,24% lo hace en un sector relacionado con el título (ISGC-P07-06; centro 87,01%; UCA 80,86%) y el 85,71% ha cambiado de residencia para trabajar (ISGC-P07-08). No consta autoempleo en la cohorte (ISGC-P07-07).</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El perfil de egreso sigue vigente: el título habilita para la profesión regulada de Ingeniero Técnico Aeronáutico y casi todos los egresados que trabajan lo hacen en el sector (95,24%). Las sugerencias de los egresados sobre optatividad y menciones (recomendación nº 14 de ACCUA) se analizan desde la Dirección del centro [PENDIENTE: conclusiones del análisis]. Las asociaciones de estudiantes y los convenios con empresas del sector aeronáutico mantienen el contacto del título con su entorno profesional.</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22752869" w14:textId="72B2827E" w:rsidR="00DD7009" w:rsidRPr="00EA51D0" w:rsidRDefault="00DD7009" w:rsidP="00DD7009">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lastRenderedPageBreak/>
        <w:t xml:space="preserve">Según el proceso P07 </w:t>
      </w:r>
      <w:hyperlink r:id="rId60" w:history="1">
        <w:r w:rsidRPr="00EA51D0">
          <w:rPr>
            <w:rStyle w:val="Hipervnculo"/>
            <w:rFonts w:asciiTheme="minorHAnsi" w:hAnsiTheme="minorHAnsi" w:cstheme="minorHAnsi"/>
            <w:sz w:val="20"/>
            <w:szCs w:val="20"/>
          </w:rPr>
          <w:t>Proceso de medición de resultados</w:t>
        </w:r>
      </w:hyperlink>
      <w:r w:rsidRPr="00EA51D0">
        <w:rPr>
          <w:rFonts w:asciiTheme="minorHAnsi" w:hAnsiTheme="minorHAnsi" w:cstheme="minorHAnsi"/>
          <w:sz w:val="20"/>
          <w:szCs w:val="20"/>
        </w:rPr>
        <w:t>, p</w:t>
      </w:r>
      <w:r w:rsidRPr="00EA51D0">
        <w:rPr>
          <w:rFonts w:asciiTheme="minorHAnsi" w:hAnsiTheme="minorHAnsi" w:cstheme="minorHAnsi"/>
          <w:bCs/>
          <w:sz w:val="20"/>
          <w:szCs w:val="20"/>
        </w:rPr>
        <w:t xml:space="preserve">ara recabar información sobre necesidades o expectativas, así como sobre la satisfacción de las personas empleadoras con las competencias adquiridas por el alumnado egresado durante sus estudios, la </w:t>
      </w:r>
      <w:r w:rsidRPr="00EA51D0">
        <w:rPr>
          <w:rFonts w:asciiTheme="minorHAnsi" w:hAnsiTheme="minorHAnsi" w:cstheme="minorHAnsi"/>
          <w:bCs/>
          <w:sz w:val="20"/>
          <w:szCs w:val="20"/>
        </w:rPr>
        <w:t xml:space="preserve">Escuela Superior de Ingeniería </w:t>
      </w:r>
      <w:r w:rsidRPr="00EA51D0">
        <w:rPr>
          <w:rFonts w:asciiTheme="minorHAnsi" w:hAnsiTheme="minorHAnsi" w:cstheme="minorHAnsi"/>
          <w:bCs/>
          <w:sz w:val="20"/>
          <w:szCs w:val="20"/>
        </w:rPr>
        <w:t xml:space="preserve">facilitará la participación de este grupo de interés en las comisiones que estime conveniente, siendo aconsejable que se produzca ese encuentro </w:t>
      </w:r>
      <w:r w:rsidRPr="00EA51D0">
        <w:rPr>
          <w:rFonts w:asciiTheme="minorHAnsi" w:hAnsiTheme="minorHAnsi" w:cstheme="minorHAnsi"/>
          <w:b/>
          <w:bCs/>
          <w:sz w:val="20"/>
          <w:szCs w:val="20"/>
        </w:rPr>
        <w:t>una vez al año</w:t>
      </w:r>
      <w:r w:rsidRPr="00EA51D0">
        <w:rPr>
          <w:rFonts w:asciiTheme="minorHAnsi" w:hAnsiTheme="minorHAnsi" w:cstheme="minorHAnsi"/>
          <w:bCs/>
          <w:sz w:val="20"/>
          <w:szCs w:val="20"/>
        </w:rPr>
        <w:t xml:space="preserve">, dejando constancia del mismo. La información obtenida se utilizará para realizar los correspondientes análisis y valoraciones necesarios para el seguimiento de los títulos y de las estrategias de mejora del </w:t>
      </w:r>
      <w:r w:rsidR="00540A6A" w:rsidRPr="00EA51D0">
        <w:rPr>
          <w:rFonts w:asciiTheme="minorHAnsi" w:hAnsiTheme="minorHAnsi" w:cstheme="minorHAnsi"/>
          <w:bCs/>
          <w:sz w:val="20"/>
          <w:szCs w:val="20"/>
        </w:rPr>
        <w:t>c</w:t>
      </w:r>
      <w:r w:rsidRPr="00EA51D0">
        <w:rPr>
          <w:rFonts w:asciiTheme="minorHAnsi" w:hAnsiTheme="minorHAnsi" w:cstheme="minorHAnsi"/>
          <w:bCs/>
          <w:sz w:val="20"/>
          <w:szCs w:val="20"/>
        </w:rPr>
        <w:t xml:space="preserve">entro. </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ESI aún no ha implantado este encuentro con empleadores ni dispone de datos sobre su satisfacción, como ya reconocía el autoinforme 2023-24. Es un aspecto a subsanar del informe de ACCUA (nº 5 y nº 13) y se mantiene en el plan de mejora con prioridad alta [PENDIENTE: confirmar si se ha celebrado algún encuentro con empleadores después de 2024-25].</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satisfacción de los egresados con los estudios (ISGC-P07-09) es de 3,30 sobre 5 en la cohorte 2023-24 y con las competencias adquiridas (ISGC-P07-10), de 3,13. Ambas bajan respecto a la cohorte anterior (3,56) y quedan algo por debajo del centro (3,34 y 3,33) y la UCA (3,50 y 3,44). La CGC seguirá su evolución en la próxima cohorte, teniendo en cuenta el cambio de fórmula.</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La sostenibilidad del título se apoya en cuatro pilares: una demanda muy superior a la oferta (preferencia del 292,86%, ocupación del 97,14% y nota de corte de 12,274); un profesorado cada vez más cualificado (77,03% de doctores y 71 sexenios) y bien valorado por el alumnado (4,5 sobre 5); recursos y prácticas externas suficientes, con tutores muy satisfechos; y unos resultados académicos que cumplen los objetivos de la memoria, con una inserción laboral muy ligada al sector aeroespacial (95,24%).</w:t>
      </w:r>
    </w:p>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Los riesgos identificados son la duración de los estudios y el retraso en el TFG, la coordinación docente, la movilidad y la baja participación en las encuestas. Se abordan en el plan de mejora junto con las recomendaciones de ACCUA pendientes, en especial la consulta a empleadores. Con todo ello, consideramos que el título es sostenible.</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PF-ESI-7.1.- El 95,24% de los egresados empleados de la cohorte 2023-24 trabaja en un sector relacionado con el título, por encima del centro (87,01%) y de la UCA (80,86%).</w:t>
              <w:br/>
              <w:t>- PF-ESI-7.2.- La participación de los egresados en la encuesta alcanza el 36,36% (24 de 66), el valor más alto de la serie.</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tc>
          <w:tcPr>
            <w:tcW w:type="dxa" w:w="4898"/>
          </w:tcPr>
          <w:p>
            <w:r>
              <w:t>No se han identificado puntos débiles en este criterio.</w:t>
            </w:r>
          </w:p>
        </w:tc>
        <w:tc>
          <w:tcPr>
            <w:tcW w:type="dxa" w:w="4554"/>
          </w:tcPr>
          <w:p>
            <w:r>
              <w:t>—</w:t>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rsidR="00480C8B" w:rsidRPr="00EA51D0" w14:paraId="7472BD09" w14:textId="77777777" w:rsidTr="00480C8B">
        <w:trPr>
          <w:trHeight w:val="340"/>
          <w:jc w:val="center"/>
        </w:trPr>
        <w:tc>
          <w:tcPr>
            <w:tcW w:w="1114" w:type="pct"/>
            <w:vAlign w:val="center"/>
          </w:tcPr>
          <w:p w14:paraId="37607269" w14:textId="77777777" w:rsidR="00480C8B" w:rsidRPr="00EA51D0" w:rsidRDefault="00480C8B" w:rsidP="00856FC3">
            <w:pPr>
              <w:jc w:val="both"/>
              <w:rPr>
                <w:rFonts w:asciiTheme="minorHAnsi" w:hAnsiTheme="minorHAnsi" w:cstheme="minorHAnsi"/>
                <w:b/>
                <w:sz w:val="18"/>
                <w:szCs w:val="18"/>
              </w:rPr>
            </w:pPr>
            <w:r>
              <w:t>Subsanación ACCUA C1 (nº 1): publicar una descripción del perfil básico del profesorado.</w:t>
            </w:r>
          </w:p>
        </w:tc>
        <w:tc>
          <w:tcPr>
            <w:tcW w:w="874" w:type="pct"/>
            <w:vAlign w:val="center"/>
          </w:tcPr>
          <w:p w14:paraId="6C27FB37" w14:textId="77777777" w:rsidR="00480C8B" w:rsidRPr="00EA51D0" w:rsidRDefault="00943E7B" w:rsidP="00856FC3">
            <w:pPr>
              <w:jc w:val="both"/>
              <w:rPr>
                <w:rFonts w:asciiTheme="minorHAnsi" w:hAnsiTheme="minorHAnsi" w:cstheme="minorHAnsi"/>
                <w:sz w:val="18"/>
                <w:szCs w:val="18"/>
              </w:rPr>
            </w:pPr>
            <w:r w:rsidRPr="00EA51D0">
              <w:rPr>
                <w:rFonts w:asciiTheme="minorHAnsi" w:hAnsiTheme="minorHAnsi" w:cstheme="minorHAnsi"/>
                <w:sz w:val="18"/>
                <w:szCs w:val="18"/>
              </w:rPr>
              <w:t>Acción de mejora: Actualizar cada curso el documento del perfil básico del profesorado enlazado en la web del título (versión 2024-25).</w:t>
              <w:br/>
              <w:t>Evidencia: Documento publicado en la web del título [PENDIENTE: enlace 2024-25].</w:t>
            </w:r>
          </w:p>
        </w:tc>
        <w:tc>
          <w:tcPr>
            <w:tcW w:w="597" w:type="pct"/>
          </w:tcPr>
          <w:p w14:paraId="55253211" w14:textId="77777777" w:rsidR="00480C8B" w:rsidRPr="00EA51D0" w:rsidRDefault="00480C8B" w:rsidP="00856FC3">
            <w:pPr>
              <w:jc w:val="both"/>
              <w:rPr>
                <w:rFonts w:asciiTheme="minorHAnsi" w:hAnsiTheme="minorHAnsi" w:cstheme="minorHAnsi"/>
                <w:sz w:val="18"/>
                <w:szCs w:val="18"/>
              </w:rPr>
            </w:pPr>
            <w:r>
              <w:t>Media</w:t>
            </w:r>
          </w:p>
        </w:tc>
        <w:tc>
          <w:tcPr>
            <w:tcW w:w="597" w:type="pct"/>
            <w:vAlign w:val="center"/>
          </w:tcPr>
          <w:p w14:paraId="6DECCB5B" w14:textId="042D33B4" w:rsidR="00480C8B" w:rsidRPr="00EA51D0" w:rsidRDefault="00480C8B" w:rsidP="00856FC3">
            <w:pPr>
              <w:jc w:val="both"/>
              <w:rPr>
                <w:rFonts w:asciiTheme="minorHAnsi" w:hAnsiTheme="minorHAnsi" w:cstheme="minorHAnsi"/>
                <w:sz w:val="18"/>
                <w:szCs w:val="18"/>
              </w:rPr>
            </w:pPr>
            <w:r>
              <w:t>Subdirector de Estudiantes y Títulos</w:t>
            </w:r>
          </w:p>
        </w:tc>
        <w:tc>
          <w:tcPr>
            <w:tcW w:w="596" w:type="pct"/>
            <w:vAlign w:val="center"/>
          </w:tcPr>
          <w:p w14:paraId="30425DEB" w14:textId="77777777" w:rsidR="00480C8B" w:rsidRPr="00EA51D0" w:rsidRDefault="00480C8B" w:rsidP="00856FC3">
            <w:pPr>
              <w:jc w:val="center"/>
              <w:rPr>
                <w:rFonts w:asciiTheme="minorHAnsi" w:hAnsiTheme="minorHAnsi" w:cstheme="minorHAnsi"/>
                <w:sz w:val="18"/>
                <w:szCs w:val="18"/>
              </w:rPr>
            </w:pPr>
            <w:r>
              <w:t>2025-09-01</w:t>
            </w:r>
          </w:p>
        </w:tc>
        <w:tc>
          <w:tcPr>
            <w:tcW w:w="465" w:type="pct"/>
            <w:vAlign w:val="center"/>
          </w:tcPr>
          <w:p w14:paraId="7D19BD96" w14:textId="77777777" w:rsidR="00480C8B" w:rsidRPr="00EA51D0" w:rsidRDefault="00480C8B" w:rsidP="00856FC3">
            <w:pPr>
              <w:jc w:val="center"/>
              <w:rPr>
                <w:rFonts w:asciiTheme="minorHAnsi" w:hAnsiTheme="minorHAnsi" w:cstheme="minorHAnsi"/>
                <w:sz w:val="18"/>
                <w:szCs w:val="18"/>
              </w:rPr>
            </w:pPr>
            <w:r>
              <w:t>2027-09-30</w:t>
            </w:r>
          </w:p>
        </w:tc>
        <w:tc>
          <w:tcPr>
            <w:tcW w:w="756" w:type="pct"/>
            <w:vAlign w:val="center"/>
          </w:tcPr>
          <w:p w14:paraId="5F8B0CB1" w14:textId="77777777" w:rsidR="00480C8B" w:rsidRPr="00EA51D0" w:rsidRDefault="00480C8B" w:rsidP="00856FC3">
            <w:pPr>
              <w:jc w:val="both"/>
              <w:rPr>
                <w:rFonts w:asciiTheme="minorHAnsi" w:hAnsiTheme="minorHAnsi" w:cstheme="minorHAnsi"/>
                <w:sz w:val="18"/>
                <w:szCs w:val="18"/>
              </w:rPr>
            </w:pPr>
            <w:r>
              <w:t>Documento actualizado y publicado (sí/no).</w:t>
            </w:r>
          </w:p>
        </w:tc>
      </w:tr>
      <w:tr w:rsidR="00761CF1" w:rsidRPr="00EA51D0" w14:paraId="30C5AACE" w14:textId="77777777" w:rsidTr="00480C8B">
        <w:trPr>
          <w:trHeight w:val="340"/>
          <w:jc w:val="center"/>
        </w:trPr>
        <w:tc>
          <w:tcPr>
            <w:tcW w:w="1114" w:type="pct"/>
            <w:vAlign w:val="center"/>
          </w:tcPr>
          <w:p w14:paraId="70CB0132" w14:textId="77777777" w:rsidR="00761CF1" w:rsidRPr="00EA51D0" w:rsidRDefault="00761CF1" w:rsidP="00761CF1">
            <w:pPr>
              <w:jc w:val="both"/>
              <w:rPr>
                <w:rFonts w:asciiTheme="minorHAnsi" w:hAnsiTheme="minorHAnsi" w:cstheme="minorHAnsi"/>
                <w:b/>
                <w:sz w:val="18"/>
                <w:szCs w:val="18"/>
              </w:rPr>
            </w:pPr>
            <w:r>
              <w:t>Subsanación ACCUA C1 (nº 2): mecanismos de accesibilidad de la web para personas con diversidad funcional.</w:t>
            </w:r>
          </w:p>
        </w:tc>
        <w:tc>
          <w:tcPr>
            <w:tcW w:w="874" w:type="pct"/>
            <w:vAlign w:val="center"/>
          </w:tcPr>
          <w:p w14:paraId="313ACE3E"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Revisar la accesibilidad de los contenidos propios de la web del título (textos alternativos, documentos PDF accesibles) con el servicio responsable de la web UCA.</w:t>
              <w:br/>
              <w:t>Evidencia: [PENDIENTE: informe de revisión de accesibilidad].</w:t>
            </w:r>
          </w:p>
        </w:tc>
        <w:tc>
          <w:tcPr>
            <w:tcW w:w="597" w:type="pct"/>
          </w:tcPr>
          <w:p w14:paraId="595D3ECD" w14:textId="77777777" w:rsidR="00761CF1" w:rsidRPr="00EA51D0" w:rsidRDefault="00761CF1" w:rsidP="00761CF1">
            <w:pPr>
              <w:jc w:val="both"/>
              <w:rPr>
                <w:rFonts w:asciiTheme="minorHAnsi" w:hAnsiTheme="minorHAnsi" w:cstheme="minorHAnsi"/>
                <w:sz w:val="18"/>
                <w:szCs w:val="18"/>
              </w:rPr>
            </w:pPr>
            <w:r>
              <w:t>Media</w:t>
            </w:r>
          </w:p>
        </w:tc>
        <w:tc>
          <w:tcPr>
            <w:tcW w:w="597" w:type="pct"/>
            <w:vAlign w:val="center"/>
          </w:tcPr>
          <w:p w14:paraId="28A6CAD0" w14:textId="0EFEA06D" w:rsidR="00761CF1" w:rsidRPr="00EA51D0" w:rsidRDefault="00761CF1" w:rsidP="00761CF1">
            <w:pPr>
              <w:jc w:val="both"/>
              <w:rPr>
                <w:rFonts w:asciiTheme="minorHAnsi" w:hAnsiTheme="minorHAnsi" w:cstheme="minorHAnsi"/>
                <w:sz w:val="18"/>
                <w:szCs w:val="18"/>
              </w:rPr>
            </w:pPr>
            <w:r>
              <w:t>Subdirector de Estudiantes y Títulos</w:t>
            </w:r>
          </w:p>
        </w:tc>
        <w:tc>
          <w:tcPr>
            <w:tcW w:w="596" w:type="pct"/>
            <w:vAlign w:val="center"/>
          </w:tcPr>
          <w:p w14:paraId="21BF5C64" w14:textId="77777777" w:rsidR="00761CF1" w:rsidRPr="00EA51D0" w:rsidRDefault="00761CF1" w:rsidP="00761CF1">
            <w:pPr>
              <w:jc w:val="center"/>
              <w:rPr>
                <w:rFonts w:asciiTheme="minorHAnsi" w:hAnsiTheme="minorHAnsi" w:cstheme="minorHAnsi"/>
                <w:sz w:val="18"/>
                <w:szCs w:val="18"/>
              </w:rPr>
            </w:pPr>
            <w:r>
              <w:t>2025-09-01</w:t>
            </w:r>
          </w:p>
        </w:tc>
        <w:tc>
          <w:tcPr>
            <w:tcW w:w="465" w:type="pct"/>
            <w:vAlign w:val="center"/>
          </w:tcPr>
          <w:p w14:paraId="45481F1A" w14:textId="77777777" w:rsidR="00761CF1" w:rsidRPr="00EA51D0" w:rsidRDefault="00761CF1" w:rsidP="00761CF1">
            <w:pPr>
              <w:jc w:val="center"/>
              <w:rPr>
                <w:rFonts w:asciiTheme="minorHAnsi" w:hAnsiTheme="minorHAnsi" w:cstheme="minorHAnsi"/>
                <w:sz w:val="18"/>
                <w:szCs w:val="18"/>
              </w:rPr>
            </w:pPr>
            <w:r>
              <w:t>2027-09-30</w:t>
            </w:r>
          </w:p>
        </w:tc>
        <w:tc>
          <w:tcPr>
            <w:tcW w:w="756" w:type="pct"/>
            <w:vAlign w:val="center"/>
          </w:tcPr>
          <w:p w14:paraId="7ADDF9D0" w14:textId="77777777" w:rsidR="00761CF1" w:rsidRPr="00EA51D0" w:rsidRDefault="00761CF1" w:rsidP="00761CF1">
            <w:pPr>
              <w:jc w:val="both"/>
              <w:rPr>
                <w:rFonts w:asciiTheme="minorHAnsi" w:hAnsiTheme="minorHAnsi" w:cstheme="minorHAnsi"/>
                <w:sz w:val="18"/>
                <w:szCs w:val="18"/>
              </w:rPr>
            </w:pPr>
            <w:r>
              <w:t>Informe de revisión emitido (sí/no).</w:t>
            </w:r>
          </w:p>
        </w:tc>
      </w:tr>
      <w:tr w:rsidR="00761CF1" w:rsidRPr="00EA51D0" w14:paraId="620C1D55" w14:textId="77777777" w:rsidTr="00480C8B">
        <w:trPr>
          <w:trHeight w:val="340"/>
          <w:jc w:val="center"/>
        </w:trPr>
        <w:tc>
          <w:tcPr>
            <w:tcW w:w="1114" w:type="pct"/>
            <w:vAlign w:val="center"/>
          </w:tcPr>
          <w:p w14:paraId="2A367F9F" w14:textId="77777777" w:rsidR="00761CF1" w:rsidRPr="00EA51D0" w:rsidRDefault="00761CF1" w:rsidP="00761CF1">
            <w:pPr>
              <w:jc w:val="both"/>
              <w:rPr>
                <w:rFonts w:asciiTheme="minorHAnsi" w:hAnsiTheme="minorHAnsi" w:cstheme="minorHAnsi"/>
                <w:b/>
                <w:sz w:val="18"/>
                <w:szCs w:val="18"/>
              </w:rPr>
            </w:pPr>
            <w:r>
              <w:t>Subsanación ACCUA C1 (nº 3): datos de satisfacción de profesores y empleadores en la IPD y prospectivas a egresados.</w:t>
            </w:r>
          </w:p>
        </w:tc>
        <w:tc>
          <w:tcPr>
            <w:tcW w:w="874" w:type="pct"/>
            <w:vAlign w:val="center"/>
          </w:tcPr>
          <w:p w14:paraId="7B081E4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Mantener publicados los indicadores de satisfacción del PDI y de egresados e incorporar los de empleadores cuando se recojan (ver nº 5).</w:t>
              <w:br/>
              <w:t>Evidencia: Web del título, apartado de indicadores.</w:t>
            </w:r>
          </w:p>
        </w:tc>
        <w:tc>
          <w:tcPr>
            <w:tcW w:w="597" w:type="pct"/>
          </w:tcPr>
          <w:p w14:paraId="373DC816" w14:textId="77777777" w:rsidR="00761CF1" w:rsidRPr="00EA51D0" w:rsidRDefault="00761CF1" w:rsidP="00761CF1">
            <w:pPr>
              <w:jc w:val="both"/>
              <w:rPr>
                <w:rFonts w:asciiTheme="minorHAnsi" w:hAnsiTheme="minorHAnsi" w:cstheme="minorHAnsi"/>
                <w:sz w:val="18"/>
                <w:szCs w:val="18"/>
              </w:rPr>
            </w:pPr>
            <w:r>
              <w:t>Media</w:t>
            </w:r>
          </w:p>
        </w:tc>
        <w:tc>
          <w:tcPr>
            <w:tcW w:w="597" w:type="pct"/>
            <w:vAlign w:val="center"/>
          </w:tcPr>
          <w:p w14:paraId="0966E47E" w14:textId="693F2A11" w:rsidR="00761CF1" w:rsidRPr="00EA51D0" w:rsidRDefault="00761CF1" w:rsidP="00761CF1">
            <w:pPr>
              <w:jc w:val="both"/>
              <w:rPr>
                <w:rFonts w:asciiTheme="minorHAnsi" w:hAnsiTheme="minorHAnsi" w:cstheme="minorHAnsi"/>
                <w:sz w:val="18"/>
                <w:szCs w:val="18"/>
              </w:rPr>
            </w:pPr>
            <w:r>
              <w:t>Subdirector de Estudiantes y Títulos</w:t>
            </w:r>
          </w:p>
        </w:tc>
        <w:tc>
          <w:tcPr>
            <w:tcW w:w="596" w:type="pct"/>
            <w:vAlign w:val="center"/>
          </w:tcPr>
          <w:p w14:paraId="4B58765C" w14:textId="77777777" w:rsidR="00761CF1" w:rsidRPr="00EA51D0" w:rsidRDefault="00761CF1" w:rsidP="00761CF1">
            <w:pPr>
              <w:jc w:val="center"/>
              <w:rPr>
                <w:rFonts w:asciiTheme="minorHAnsi" w:hAnsiTheme="minorHAnsi" w:cstheme="minorHAnsi"/>
                <w:sz w:val="18"/>
                <w:szCs w:val="18"/>
              </w:rPr>
            </w:pPr>
            <w:r>
              <w:t>2025-09-01</w:t>
            </w:r>
          </w:p>
        </w:tc>
        <w:tc>
          <w:tcPr>
            <w:tcW w:w="465" w:type="pct"/>
            <w:vAlign w:val="center"/>
          </w:tcPr>
          <w:p w14:paraId="1BC1974B" w14:textId="77777777" w:rsidR="00761CF1" w:rsidRPr="00EA51D0" w:rsidRDefault="00761CF1" w:rsidP="00761CF1">
            <w:pPr>
              <w:jc w:val="center"/>
              <w:rPr>
                <w:rFonts w:asciiTheme="minorHAnsi" w:hAnsiTheme="minorHAnsi" w:cstheme="minorHAnsi"/>
                <w:sz w:val="18"/>
                <w:szCs w:val="18"/>
              </w:rPr>
            </w:pPr>
            <w:r>
              <w:t>2027-09-30</w:t>
            </w:r>
          </w:p>
        </w:tc>
        <w:tc>
          <w:tcPr>
            <w:tcW w:w="756" w:type="pct"/>
            <w:vAlign w:val="center"/>
          </w:tcPr>
          <w:p w14:paraId="6CD5D2FD" w14:textId="77777777" w:rsidR="00761CF1" w:rsidRPr="00EA51D0" w:rsidRDefault="00761CF1" w:rsidP="00761CF1">
            <w:pPr>
              <w:jc w:val="both"/>
              <w:rPr>
                <w:rFonts w:asciiTheme="minorHAnsi" w:hAnsiTheme="minorHAnsi" w:cstheme="minorHAnsi"/>
                <w:sz w:val="18"/>
                <w:szCs w:val="18"/>
              </w:rPr>
            </w:pPr>
            <w:r>
              <w:t>ISGC-P01-02: 4,19 (2024-25).</w:t>
            </w:r>
          </w:p>
        </w:tc>
      </w:tr>
      <w:tr w:rsidR="00761CF1" w:rsidRPr="00EA51D0" w14:paraId="34FCCE51" w14:textId="77777777" w:rsidTr="00480C8B">
        <w:trPr>
          <w:trHeight w:val="340"/>
          <w:jc w:val="center"/>
        </w:trPr>
        <w:tc>
          <w:tcPr>
            <w:tcW w:w="1114" w:type="pct"/>
            <w:vAlign w:val="center"/>
          </w:tcPr>
          <w:p w14:paraId="05CE359A" w14:textId="77777777" w:rsidR="00761CF1" w:rsidRPr="00EA51D0" w:rsidRDefault="00761CF1" w:rsidP="00761CF1">
            <w:pPr>
              <w:jc w:val="both"/>
              <w:rPr>
                <w:rFonts w:asciiTheme="minorHAnsi" w:hAnsiTheme="minorHAnsi" w:cstheme="minorHAnsi"/>
                <w:b/>
                <w:sz w:val="18"/>
                <w:szCs w:val="18"/>
              </w:rPr>
            </w:pPr>
            <w:r>
              <w:t>Recomendación ACCUA C1 (nº 4): acceso más intuitivo a la información desde la web de la UCA.</w:t>
            </w:r>
          </w:p>
        </w:tc>
        <w:tc>
          <w:tcPr>
            <w:tcW w:w="874" w:type="pct"/>
            <w:vAlign w:val="center"/>
          </w:tcPr>
          <w:p w14:paraId="54E41473" w14:textId="77777777" w:rsidR="00761CF1" w:rsidRPr="00EA51D0" w:rsidRDefault="00761CF1" w:rsidP="00761CF1">
            <w:pPr>
              <w:jc w:val="both"/>
              <w:rPr>
                <w:rFonts w:asciiTheme="minorHAnsi" w:hAnsiTheme="minorHAnsi" w:cstheme="minorHAnsi"/>
                <w:sz w:val="18"/>
                <w:szCs w:val="18"/>
              </w:rPr>
            </w:pPr>
            <w:r w:rsidRPr="00EA51D0">
              <w:rPr>
                <w:rFonts w:asciiTheme="minorHAnsi" w:hAnsiTheme="minorHAnsi" w:cstheme="minorHAnsi"/>
                <w:sz w:val="18"/>
                <w:szCs w:val="18"/>
              </w:rPr>
              <w:t>Acción de mejora: Revisar los enlaces de acceso a la información del título y del SGC desde la web institucional y del centro.</w:t>
              <w:br/>
              <w:t>Evidencia: Web del título.</w:t>
            </w:r>
          </w:p>
        </w:tc>
        <w:tc>
          <w:tcPr>
            <w:tcW w:w="597" w:type="pct"/>
          </w:tcPr>
          <w:p w14:paraId="06FD7539" w14:textId="77777777" w:rsidR="00761CF1" w:rsidRPr="00EA51D0" w:rsidRDefault="00761CF1" w:rsidP="00761CF1">
            <w:pPr>
              <w:jc w:val="both"/>
              <w:rPr>
                <w:rFonts w:asciiTheme="minorHAnsi" w:hAnsiTheme="minorHAnsi" w:cstheme="minorHAnsi"/>
                <w:color w:val="FF0000"/>
                <w:sz w:val="18"/>
                <w:szCs w:val="18"/>
              </w:rPr>
            </w:pPr>
            <w:r>
              <w:t>Baja</w:t>
            </w:r>
          </w:p>
        </w:tc>
        <w:tc>
          <w:tcPr>
            <w:tcW w:w="597" w:type="pct"/>
            <w:vAlign w:val="center"/>
          </w:tcPr>
          <w:p w14:paraId="1CAF146B" w14:textId="5831BBC6" w:rsidR="00761CF1" w:rsidRPr="00EA51D0" w:rsidRDefault="00761CF1" w:rsidP="00761CF1">
            <w:pPr>
              <w:jc w:val="both"/>
              <w:rPr>
                <w:rFonts w:asciiTheme="minorHAnsi" w:hAnsiTheme="minorHAnsi" w:cstheme="minorHAnsi"/>
                <w:color w:val="FF0000"/>
                <w:sz w:val="18"/>
                <w:szCs w:val="18"/>
              </w:rPr>
            </w:pPr>
            <w:r>
              <w:t>Subdirector de Estudiantes y Títulos</w:t>
            </w:r>
          </w:p>
        </w:tc>
        <w:tc>
          <w:tcPr>
            <w:tcW w:w="596" w:type="pct"/>
            <w:vAlign w:val="center"/>
          </w:tcPr>
          <w:p w14:paraId="03AF1568" w14:textId="77777777" w:rsidR="00761CF1" w:rsidRPr="00EA51D0" w:rsidRDefault="00761CF1" w:rsidP="00761CF1">
            <w:pPr>
              <w:jc w:val="center"/>
              <w:rPr>
                <w:rFonts w:asciiTheme="minorHAnsi" w:hAnsiTheme="minorHAnsi" w:cstheme="minorHAnsi"/>
                <w:color w:val="FF0000"/>
                <w:sz w:val="18"/>
                <w:szCs w:val="18"/>
              </w:rPr>
            </w:pPr>
            <w:r>
              <w:t>2025-09-01</w:t>
            </w:r>
          </w:p>
        </w:tc>
        <w:tc>
          <w:tcPr>
            <w:tcW w:w="465" w:type="pct"/>
            <w:vAlign w:val="center"/>
          </w:tcPr>
          <w:p w14:paraId="6ED4E3A9" w14:textId="77777777" w:rsidR="00761CF1" w:rsidRPr="00EA51D0" w:rsidRDefault="00761CF1" w:rsidP="00761CF1">
            <w:pPr>
              <w:jc w:val="center"/>
              <w:rPr>
                <w:rFonts w:asciiTheme="minorHAnsi" w:hAnsiTheme="minorHAnsi" w:cstheme="minorHAnsi"/>
                <w:color w:val="FF0000"/>
                <w:sz w:val="18"/>
                <w:szCs w:val="18"/>
              </w:rPr>
            </w:pPr>
            <w:r>
              <w:t>2027-09-30</w:t>
            </w:r>
          </w:p>
        </w:tc>
        <w:tc>
          <w:tcPr>
            <w:tcW w:w="756" w:type="pct"/>
            <w:vAlign w:val="center"/>
          </w:tcPr>
          <w:p w14:paraId="782EC307" w14:textId="77777777" w:rsidR="00761CF1" w:rsidRPr="00EA51D0" w:rsidRDefault="00761CF1" w:rsidP="00761CF1">
            <w:pPr>
              <w:jc w:val="both"/>
              <w:rPr>
                <w:rFonts w:asciiTheme="minorHAnsi" w:hAnsiTheme="minorHAnsi" w:cstheme="minorHAnsi"/>
                <w:color w:val="FF0000"/>
                <w:sz w:val="18"/>
                <w:szCs w:val="18"/>
              </w:rPr>
            </w:pPr>
            <w:r>
              <w:t>ISGC-P01-01: 3,45 (2024-25).</w:t>
            </w:r>
          </w:p>
        </w:tc>
      </w:tr>
      <w:tr>
        <w:tc>
          <w:tcPr>
            <w:tcW w:type="dxa" w:w="3245"/>
          </w:tcPr>
          <w:p>
            <w:r>
              <w:t>Subsanación ACCUA C2 (nº 5) y C7 (nº 13): procedimiento sistemático con empleadores y egresados. Incluye PD-ESI-2.2 (autoinforme 2023-24).</w:t>
            </w:r>
          </w:p>
        </w:tc>
        <w:tc>
          <w:tcPr>
            <w:tcW w:type="dxa" w:w="2546"/>
          </w:tcPr>
          <w:p>
            <w:r>
              <w:t>Acción de mejora: Celebrar el encuentro anual con empleadores previsto en el P07 (apartado C), con acta y análisis de sus resultados en la CGC.</w:t>
              <w:br/>
              <w:t>Evidencia: Acta del encuentro en Colabora [PENDIENTE].</w:t>
            </w:r>
          </w:p>
        </w:tc>
        <w:tc>
          <w:tcPr>
            <w:tcW w:type="dxa" w:w="1739"/>
          </w:tcPr>
          <w:p>
            <w:r>
              <w:t>Alta</w:t>
            </w:r>
          </w:p>
        </w:tc>
        <w:tc>
          <w:tcPr>
            <w:tcW w:type="dxa" w:w="1739"/>
          </w:tcPr>
          <w:p>
            <w:r>
              <w:t>Director del Centro</w:t>
            </w:r>
          </w:p>
        </w:tc>
        <w:tc>
          <w:tcPr>
            <w:tcW w:type="dxa" w:w="1736"/>
          </w:tcPr>
          <w:p>
            <w:r>
              <w:t>2025-09-01</w:t>
            </w:r>
          </w:p>
        </w:tc>
        <w:tc>
          <w:tcPr>
            <w:tcW w:type="dxa" w:w="1354"/>
          </w:tcPr>
          <w:p>
            <w:r>
              <w:t>2027-09-30</w:t>
            </w:r>
          </w:p>
        </w:tc>
        <w:tc>
          <w:tcPr>
            <w:tcW w:type="dxa" w:w="2201"/>
          </w:tcPr>
          <w:p>
            <w:r>
              <w:t>Encuentro celebrado y analizado en la CGC (sí/no).</w:t>
            </w:r>
          </w:p>
        </w:tc>
      </w:tr>
      <w:tr>
        <w:tc>
          <w:tcPr>
            <w:tcW w:type="dxa" w:w="3245"/>
          </w:tcPr>
          <w:p>
            <w:r>
              <w:t>Recomendación ACCUA C2 (nº 6): aportar número de encuestas y población encuestada.</w:t>
            </w:r>
          </w:p>
        </w:tc>
        <w:tc>
          <w:tcPr>
            <w:tcW w:type="dxa" w:w="2546"/>
          </w:tcPr>
          <w:p>
            <w:r>
              <w:t>Acción de mejora: Incluir en cada autoinforme las tasas de respuesta de todos los colectivos, con número de encuestas y población cuando LinceBI lo facilite.</w:t>
              <w:br/>
              <w:t>Evidencia: Anexo 1 del autoinforme.</w:t>
            </w:r>
          </w:p>
        </w:tc>
        <w:tc>
          <w:tcPr>
            <w:tcW w:type="dxa" w:w="1739"/>
          </w:tcPr>
          <w:p>
            <w:r>
              <w:t>Media</w:t>
            </w:r>
          </w:p>
        </w:tc>
        <w:tc>
          <w:tcPr>
            <w:tcW w:type="dxa" w:w="1739"/>
          </w:tcPr>
          <w:p>
            <w:r>
              <w:t>Coordinador del título</w:t>
            </w:r>
          </w:p>
        </w:tc>
        <w:tc>
          <w:tcPr>
            <w:tcW w:type="dxa" w:w="1736"/>
          </w:tcPr>
          <w:p>
            <w:r>
              <w:t>2025-09-01</w:t>
            </w:r>
          </w:p>
        </w:tc>
        <w:tc>
          <w:tcPr>
            <w:tcW w:type="dxa" w:w="1354"/>
          </w:tcPr>
          <w:p>
            <w:r>
              <w:t>2027-09-30</w:t>
            </w:r>
          </w:p>
        </w:tc>
        <w:tc>
          <w:tcPr>
            <w:tcW w:type="dxa" w:w="2201"/>
          </w:tcPr>
          <w:p>
            <w:r>
              <w:t>ISGC-P07-01_01/01_02/01_03.</w:t>
            </w:r>
          </w:p>
        </w:tc>
      </w:tr>
      <w:tr>
        <w:tc>
          <w:tcPr>
            <w:tcW w:type="dxa" w:w="3245"/>
          </w:tcPr>
          <w:p>
            <w:r>
              <w:t>Subsanación ACCUA C3 (nº 7) y PD-ESI-3.1: coordinación formal con actas; satisfacción con la coordinación (2,75).</w:t>
            </w:r>
          </w:p>
        </w:tc>
        <w:tc>
          <w:tcPr>
            <w:tcW w:type="dxa" w:w="2546"/>
          </w:tcPr>
          <w:p>
            <w:r>
              <w:t>Acción de mejora: AM-ESI-3.1: reuniones de coordinación horizontal (por semestre y curso) y vertical (anual) con orden del día y acta, apoyadas en el curso de coordinación del Campus Virtual.</w:t>
              <w:br/>
              <w:t>Evidencia: Actas archivadas en Colabora [PENDIENTE].</w:t>
            </w:r>
          </w:p>
        </w:tc>
        <w:tc>
          <w:tcPr>
            <w:tcW w:type="dxa" w:w="1739"/>
          </w:tcPr>
          <w:p>
            <w:r>
              <w:t>Alta</w:t>
            </w:r>
          </w:p>
        </w:tc>
        <w:tc>
          <w:tcPr>
            <w:tcW w:type="dxa" w:w="1739"/>
          </w:tcPr>
          <w:p>
            <w:r>
              <w:t>Coordinador del título</w:t>
            </w:r>
          </w:p>
        </w:tc>
        <w:tc>
          <w:tcPr>
            <w:tcW w:type="dxa" w:w="1736"/>
          </w:tcPr>
          <w:p>
            <w:r>
              <w:t>2025-09-01</w:t>
            </w:r>
          </w:p>
        </w:tc>
        <w:tc>
          <w:tcPr>
            <w:tcW w:type="dxa" w:w="1354"/>
          </w:tcPr>
          <w:p>
            <w:r>
              <w:t>2027-09-30</w:t>
            </w:r>
          </w:p>
        </w:tc>
        <w:tc>
          <w:tcPr>
            <w:tcW w:type="dxa" w:w="2201"/>
          </w:tcPr>
          <w:p>
            <w:r>
              <w:t>ISGC-P04-10 ≥ 3 sobre 5; nº de reuniones con acta.</w:t>
            </w:r>
          </w:p>
        </w:tc>
      </w:tr>
      <w:tr>
        <w:tc>
          <w:tcPr>
            <w:tcW w:type="dxa" w:w="3245"/>
          </w:tcPr>
          <w:p>
            <w:r>
              <w:t>Recomendación ACCUA C4 (nº 8): formación e innovación docente del profesorado.</w:t>
            </w:r>
          </w:p>
        </w:tc>
        <w:tc>
          <w:tcPr>
            <w:tcW w:type="dxa" w:w="2546"/>
          </w:tcPr>
          <w:p>
            <w:r>
              <w:t>Acción de mejora: Difundir la oferta formativa y las convocatorias de innovación docente en las reuniones de coordinación.</w:t>
              <w:br/>
              <w:t>Evidencia: Convocatorias de la Unidad de Innovación Docente.</w:t>
            </w:r>
          </w:p>
        </w:tc>
        <w:tc>
          <w:tcPr>
            <w:tcW w:type="dxa" w:w="1739"/>
          </w:tcPr>
          <w:p>
            <w:r>
              <w:t>Media</w:t>
            </w:r>
          </w:p>
        </w:tc>
        <w:tc>
          <w:tcPr>
            <w:tcW w:type="dxa" w:w="1739"/>
          </w:tcPr>
          <w:p>
            <w:r>
              <w:t>Director del Centro</w:t>
            </w:r>
          </w:p>
        </w:tc>
        <w:tc>
          <w:tcPr>
            <w:tcW w:type="dxa" w:w="1736"/>
          </w:tcPr>
          <w:p>
            <w:r>
              <w:t>2025-09-01</w:t>
            </w:r>
          </w:p>
        </w:tc>
        <w:tc>
          <w:tcPr>
            <w:tcW w:type="dxa" w:w="1354"/>
          </w:tcPr>
          <w:p>
            <w:r>
              <w:t>2027-09-30</w:t>
            </w:r>
          </w:p>
        </w:tc>
        <w:tc>
          <w:tcPr>
            <w:tcW w:type="dxa" w:w="2201"/>
          </w:tcPr>
          <w:p>
            <w:r>
              <w:t>ISGC-P05-02: 25,68%; ISGC-P05-03: 41,89% (2024-25).</w:t>
            </w:r>
          </w:p>
        </w:tc>
      </w:tr>
      <w:tr>
        <w:tc>
          <w:tcPr>
            <w:tcW w:type="dxa" w:w="3245"/>
          </w:tcPr>
          <w:p>
            <w:r>
              <w:t>Recomendación ACCUA C4 (nº 9): aumentar doctores y sexenios.</w:t>
            </w:r>
          </w:p>
        </w:tc>
        <w:tc>
          <w:tcPr>
            <w:tcW w:type="dxa" w:w="2546"/>
          </w:tcPr>
          <w:p>
            <w:r>
              <w:t>Acción de mejora: Mantener el seguimiento anual de la cualificación del profesorado y trasladar a los departamentos las necesidades del título.</w:t>
              <w:br/>
              <w:t>Evidencia: ISGC-P05-01 (Anexo 2).</w:t>
            </w:r>
          </w:p>
        </w:tc>
        <w:tc>
          <w:tcPr>
            <w:tcW w:type="dxa" w:w="1739"/>
          </w:tcPr>
          <w:p>
            <w:r>
              <w:t>Baja</w:t>
            </w:r>
          </w:p>
        </w:tc>
        <w:tc>
          <w:tcPr>
            <w:tcW w:type="dxa" w:w="1739"/>
          </w:tcPr>
          <w:p>
            <w:r>
              <w:t>Director del Centro</w:t>
            </w:r>
          </w:p>
        </w:tc>
        <w:tc>
          <w:tcPr>
            <w:tcW w:type="dxa" w:w="1736"/>
          </w:tcPr>
          <w:p>
            <w:r>
              <w:t>2025-09-01</w:t>
            </w:r>
          </w:p>
        </w:tc>
        <w:tc>
          <w:tcPr>
            <w:tcW w:type="dxa" w:w="1354"/>
          </w:tcPr>
          <w:p>
            <w:r>
              <w:t>2027-09-30</w:t>
            </w:r>
          </w:p>
        </w:tc>
        <w:tc>
          <w:tcPr>
            <w:tcW w:type="dxa" w:w="2201"/>
          </w:tcPr>
          <w:p>
            <w:r>
              <w:t>% doctores: 77,03%; sexenios: 71 (2024-25).</w:t>
            </w:r>
          </w:p>
        </w:tc>
      </w:tr>
      <w:tr>
        <w:tc>
          <w:tcPr>
            <w:tcW w:type="dxa" w:w="3245"/>
          </w:tcPr>
          <w:p>
            <w:r>
              <w:t>Subsanación ACCUA C5 (nº 10) y PD-ESI-5.1: movilidad baja y satisfacción con la movilidad (2,56).</w:t>
            </w:r>
          </w:p>
        </w:tc>
        <w:tc>
          <w:tcPr>
            <w:tcW w:type="dxa" w:w="2546"/>
          </w:tcPr>
          <w:p>
            <w:r>
              <w:t>Acción de mejora: AM-ESI-5.1: sesión informativa anual específica del título con el coordinador de movilidad y revisión de destinos y tablas de reconocimiento.</w:t>
              <w:br/>
              <w:t>Evidencia: Registro de la sesión y tablas de reconocimiento aprobadas en la CGC [PENDIENTE].</w:t>
            </w:r>
          </w:p>
        </w:tc>
        <w:tc>
          <w:tcPr>
            <w:tcW w:type="dxa" w:w="1739"/>
          </w:tcPr>
          <w:p>
            <w:r>
              <w:t>Alta</w:t>
            </w:r>
          </w:p>
        </w:tc>
        <w:tc>
          <w:tcPr>
            <w:tcW w:type="dxa" w:w="1739"/>
          </w:tcPr>
          <w:p>
            <w:r>
              <w:t>Coordinador de movilidad del centro</w:t>
            </w:r>
          </w:p>
        </w:tc>
        <w:tc>
          <w:tcPr>
            <w:tcW w:type="dxa" w:w="1736"/>
          </w:tcPr>
          <w:p>
            <w:r>
              <w:t>2026-11-01</w:t>
            </w:r>
          </w:p>
        </w:tc>
        <w:tc>
          <w:tcPr>
            <w:tcW w:type="dxa" w:w="1354"/>
          </w:tcPr>
          <w:p>
            <w:r>
              <w:t>2027-09-30</w:t>
            </w:r>
          </w:p>
        </w:tc>
        <w:tc>
          <w:tcPr>
            <w:tcW w:type="dxa" w:w="2201"/>
          </w:tcPr>
          <w:p>
            <w:r>
              <w:t>ISGC-P04-09 saliente; ISGC-P04-15 ≥ 3 sobre 5.</w:t>
            </w:r>
          </w:p>
        </w:tc>
      </w:tr>
      <w:tr>
        <w:tc>
          <w:tcPr>
            <w:tcW w:type="dxa" w:w="3245"/>
          </w:tcPr>
          <w:p>
            <w:r>
              <w:t>Subsanación ACCUA C6 (nº 11) y PD-ESI-6.1: rendimiento del TFG (48% de no presentados) y duración media (6,4 años).</w:t>
            </w:r>
          </w:p>
        </w:tc>
        <w:tc>
          <w:tcPr>
            <w:tcW w:type="dxa" w:w="2546"/>
          </w:tcPr>
          <w:p>
            <w:r>
              <w:t>Acción de mejora: AM-ESI-6.1: seguimiento personalizado del estudiantado matriculado en el TFG sin trabajo asignado o sin defensa, con sesiones informativas por semestre y apoyo de la Comisión de TFG/M.</w:t>
              <w:br/>
              <w:t>Evidencia: Listados de la aplicación tfgm.uca.es; Anexo IV.</w:t>
            </w:r>
          </w:p>
        </w:tc>
        <w:tc>
          <w:tcPr>
            <w:tcW w:type="dxa" w:w="1739"/>
          </w:tcPr>
          <w:p>
            <w:r>
              <w:t>Alta</w:t>
            </w:r>
          </w:p>
        </w:tc>
        <w:tc>
          <w:tcPr>
            <w:tcW w:type="dxa" w:w="1739"/>
          </w:tcPr>
          <w:p>
            <w:r>
              <w:t>Coordinador del título</w:t>
            </w:r>
          </w:p>
        </w:tc>
        <w:tc>
          <w:tcPr>
            <w:tcW w:type="dxa" w:w="1736"/>
          </w:tcPr>
          <w:p>
            <w:r>
              <w:t>2026-11-01</w:t>
            </w:r>
          </w:p>
        </w:tc>
        <w:tc>
          <w:tcPr>
            <w:tcW w:type="dxa" w:w="1354"/>
          </w:tcPr>
          <w:p>
            <w:r>
              <w:t>2027-09-30</w:t>
            </w:r>
          </w:p>
        </w:tc>
        <w:tc>
          <w:tcPr>
            <w:tcW w:type="dxa" w:w="2201"/>
          </w:tcPr>
          <w:p>
            <w:r>
              <w:t>% no presentados en el TFG &lt; 40%; ISGC-P04-07.</w:t>
            </w:r>
          </w:p>
        </w:tc>
      </w:tr>
      <w:tr>
        <w:tc>
          <w:tcPr>
            <w:tcW w:type="dxa" w:w="3245"/>
          </w:tcPr>
          <w:p>
            <w:r>
              <w:t>Subsanación ACCUA C6 (nº 12): duración media y tasa de graduación.</w:t>
            </w:r>
          </w:p>
        </w:tc>
        <w:tc>
          <w:tcPr>
            <w:tcW w:type="dxa" w:w="2546"/>
          </w:tcPr>
          <w:p>
            <w:r>
              <w:t>Acción de mejora: Charlas informativas para que el estudiantado finalice los estudios antes de incorporarse al empleo, coordinadas con AM-ESI-6.1.</w:t>
              <w:br/>
              <w:t>Evidencia: [PENDIENTE: registro de las charlas realizadas].</w:t>
            </w:r>
          </w:p>
        </w:tc>
        <w:tc>
          <w:tcPr>
            <w:tcW w:type="dxa" w:w="1739"/>
          </w:tcPr>
          <w:p>
            <w:r>
              <w:t>Media</w:t>
            </w:r>
          </w:p>
        </w:tc>
        <w:tc>
          <w:tcPr>
            <w:tcW w:type="dxa" w:w="1739"/>
          </w:tcPr>
          <w:p>
            <w:r>
              <w:t>Coordinador del título</w:t>
            </w:r>
          </w:p>
        </w:tc>
        <w:tc>
          <w:tcPr>
            <w:tcW w:type="dxa" w:w="1736"/>
          </w:tcPr>
          <w:p>
            <w:r>
              <w:t>2025-09-01</w:t>
            </w:r>
          </w:p>
        </w:tc>
        <w:tc>
          <w:tcPr>
            <w:tcW w:type="dxa" w:w="1354"/>
          </w:tcPr>
          <w:p>
            <w:r>
              <w:t>2027-09-30</w:t>
            </w:r>
          </w:p>
        </w:tc>
        <w:tc>
          <w:tcPr>
            <w:tcW w:type="dxa" w:w="2201"/>
          </w:tcPr>
          <w:p>
            <w:r>
              <w:t>ISGC-P04-05: 29,9%; ISGC-P04-07: 6,4 años (2024-25).</w:t>
            </w:r>
          </w:p>
        </w:tc>
      </w:tr>
      <w:tr>
        <w:tc>
          <w:tcPr>
            <w:tcW w:type="dxa" w:w="3245"/>
          </w:tcPr>
          <w:p>
            <w:r>
              <w:t>Recomendación ACCUA C7 (nº 14): sugerencias de egresados sobre optatividad y menciones.</w:t>
            </w:r>
          </w:p>
        </w:tc>
        <w:tc>
          <w:tcPr>
            <w:tcW w:type="dxa" w:w="2546"/>
          </w:tcPr>
          <w:p>
            <w:r>
              <w:t>Acción de mejora: Concluir el análisis del catálogo de optativas y de las menciones y, si procede, proponer la modificación de la memoria.</w:t>
              <w:br/>
              <w:t>Evidencia: [PENDIENTE: actas o propuesta de modificación].</w:t>
            </w:r>
          </w:p>
        </w:tc>
        <w:tc>
          <w:tcPr>
            <w:tcW w:type="dxa" w:w="1739"/>
          </w:tcPr>
          <w:p>
            <w:r>
              <w:t>Media</w:t>
            </w:r>
          </w:p>
        </w:tc>
        <w:tc>
          <w:tcPr>
            <w:tcW w:type="dxa" w:w="1739"/>
          </w:tcPr>
          <w:p>
            <w:r>
              <w:t>Director del Centro</w:t>
            </w:r>
          </w:p>
        </w:tc>
        <w:tc>
          <w:tcPr>
            <w:tcW w:type="dxa" w:w="1736"/>
          </w:tcPr>
          <w:p>
            <w:r>
              <w:t>2025-09-01</w:t>
            </w:r>
          </w:p>
        </w:tc>
        <w:tc>
          <w:tcPr>
            <w:tcW w:type="dxa" w:w="1354"/>
          </w:tcPr>
          <w:p>
            <w:r>
              <w:t>2027-09-30</w:t>
            </w:r>
          </w:p>
        </w:tc>
        <w:tc>
          <w:tcPr>
            <w:tcW w:type="dxa" w:w="2201"/>
          </w:tcPr>
          <w:p>
            <w:r>
              <w:t>Análisis concluido (sí/no).</w:t>
            </w:r>
          </w:p>
        </w:tc>
      </w:tr>
      <w:tr>
        <w:tc>
          <w:tcPr>
            <w:tcW w:type="dxa" w:w="3245"/>
          </w:tcPr>
          <w:p>
            <w:r>
              <w:t>Recomendación ACCUA C7 (nº 15): satisfacción con la orientación académica y profesional.</w:t>
            </w:r>
          </w:p>
        </w:tc>
        <w:tc>
          <w:tcPr>
            <w:tcW w:type="dxa" w:w="2546"/>
          </w:tcPr>
          <w:p>
            <w:r>
              <w:t>Acción de mejora: Difundir las actividades de orientación (PROA, ESI LAB, actividades científico-técnicas) en el curso del título del Campus Virtual.</w:t>
              <w:br/>
              <w:t>Evidencia: Curso del título en el Campus Virtual.</w:t>
            </w:r>
          </w:p>
        </w:tc>
        <w:tc>
          <w:tcPr>
            <w:tcW w:type="dxa" w:w="1739"/>
          </w:tcPr>
          <w:p>
            <w:r>
              <w:t>Media</w:t>
            </w:r>
          </w:p>
        </w:tc>
        <w:tc>
          <w:tcPr>
            <w:tcW w:type="dxa" w:w="1739"/>
          </w:tcPr>
          <w:p>
            <w:r>
              <w:t>Subdirector de Estudiantes y Títulos</w:t>
            </w:r>
          </w:p>
        </w:tc>
        <w:tc>
          <w:tcPr>
            <w:tcW w:type="dxa" w:w="1736"/>
          </w:tcPr>
          <w:p>
            <w:r>
              <w:t>2025-09-01</w:t>
            </w:r>
          </w:p>
        </w:tc>
        <w:tc>
          <w:tcPr>
            <w:tcW w:type="dxa" w:w="1354"/>
          </w:tcPr>
          <w:p>
            <w:r>
              <w:t>2027-09-30</w:t>
            </w:r>
          </w:p>
        </w:tc>
        <w:tc>
          <w:tcPr>
            <w:tcW w:type="dxa" w:w="2201"/>
          </w:tcPr>
          <w:p>
            <w:r>
              <w:t>ISGC-P06-01: 2,94; ISGC-P06-02: 2,60 (2024-25).</w:t>
            </w:r>
          </w:p>
        </w:tc>
      </w:tr>
      <w:tr>
        <w:tc>
          <w:tcPr>
            <w:tcW w:type="dxa" w:w="3245"/>
          </w:tcPr>
          <w:p>
            <w:r>
              <w:t>PD-ESI-1.1: baja participación del alumnado en las encuestas (17,58%). Continúa PD-ESI-1.2 (autoinforme 2023-24).</w:t>
            </w:r>
          </w:p>
        </w:tc>
        <w:tc>
          <w:tcPr>
            <w:tcW w:type="dxa" w:w="2546"/>
          </w:tcPr>
          <w:p>
            <w:r>
              <w:t>Acción de mejora: AM-ESI-1.1: campaña de difusión de las encuestas en el Campus Virtual y en el aula, con recordatorios del profesorado coordinador de cada curso.</w:t>
              <w:br/>
              <w:t>Evidencia: Mensajes y calendario de la campaña.</w:t>
            </w:r>
          </w:p>
        </w:tc>
        <w:tc>
          <w:tcPr>
            <w:tcW w:type="dxa" w:w="1739"/>
          </w:tcPr>
          <w:p>
            <w:r>
              <w:t>Alta</w:t>
            </w:r>
          </w:p>
        </w:tc>
        <w:tc>
          <w:tcPr>
            <w:tcW w:type="dxa" w:w="1739"/>
          </w:tcPr>
          <w:p>
            <w:r>
              <w:t>Coordinador del título</w:t>
            </w:r>
          </w:p>
        </w:tc>
        <w:tc>
          <w:tcPr>
            <w:tcW w:type="dxa" w:w="1736"/>
          </w:tcPr>
          <w:p>
            <w:r>
              <w:t>2026-11-01</w:t>
            </w:r>
          </w:p>
        </w:tc>
        <w:tc>
          <w:tcPr>
            <w:tcW w:type="dxa" w:w="1354"/>
          </w:tcPr>
          <w:p>
            <w:r>
              <w:t>2027-09-30</w:t>
            </w:r>
          </w:p>
        </w:tc>
        <w:tc>
          <w:tcPr>
            <w:tcW w:type="dxa" w:w="2201"/>
          </w:tcPr>
          <w:p>
            <w:r>
              <w:t>ISGC-P07-01_01 ≥ 25%.</w:t>
            </w:r>
          </w:p>
        </w:tc>
      </w:tr>
      <w:tr>
        <w:tc>
          <w:tcPr>
            <w:tcW w:type="dxa" w:w="3245"/>
          </w:tcPr>
          <w:p>
            <w:r>
              <w:t>PD-ESI-1.1 (autoinforme 2023-24, no resuelto): faltan en la web ítems del SGC del centro (actas, procedimientos, acciones de mejora en marcha).</w:t>
            </w:r>
          </w:p>
        </w:tc>
        <w:tc>
          <w:tcPr>
            <w:tcW w:type="dxa" w:w="2546"/>
          </w:tcPr>
          <w:p>
            <w:r>
              <w:t>Acción de mejora: Publicar en la web los procedimientos del SGC y los acuerdos de la CGC del centro.</w:t>
              <w:br/>
              <w:t>Evidencia: Web del centro, apartado del SGC [PENDIENTE].</w:t>
            </w:r>
          </w:p>
        </w:tc>
        <w:tc>
          <w:tcPr>
            <w:tcW w:type="dxa" w:w="1739"/>
          </w:tcPr>
          <w:p>
            <w:r>
              <w:t>Media</w:t>
            </w:r>
          </w:p>
        </w:tc>
        <w:tc>
          <w:tcPr>
            <w:tcW w:type="dxa" w:w="1739"/>
          </w:tcPr>
          <w:p>
            <w:r>
              <w:t>Director del Centro</w:t>
            </w:r>
          </w:p>
        </w:tc>
        <w:tc>
          <w:tcPr>
            <w:tcW w:type="dxa" w:w="1736"/>
          </w:tcPr>
          <w:p>
            <w:r>
              <w:t>2025-09-01</w:t>
            </w:r>
          </w:p>
        </w:tc>
        <w:tc>
          <w:tcPr>
            <w:tcW w:type="dxa" w:w="1354"/>
          </w:tcPr>
          <w:p>
            <w:r>
              <w:t>2027-09-30</w:t>
            </w:r>
          </w:p>
        </w:tc>
        <w:tc>
          <w:tcPr>
            <w:tcW w:type="dxa" w:w="2201"/>
          </w:tcPr>
          <w:p>
            <w:r>
              <w:t>Ítems publicados (sí/no).</w:t>
            </w:r>
          </w:p>
        </w:tc>
      </w:tr>
      <w:tr>
        <w:tc>
          <w:tcPr>
            <w:tcW w:type="dxa" w:w="3245"/>
          </w:tcPr>
          <w:p>
            <w:r>
              <w:t>PD-ESI-2.1 (autoinforme 2023-24, no resuelto): el centro no tiene desarrollado su SGC específico (programa IMPLANTA).</w:t>
            </w:r>
          </w:p>
        </w:tc>
        <w:tc>
          <w:tcPr>
            <w:tcW w:type="dxa" w:w="2546"/>
          </w:tcPr>
          <w:p>
            <w:r>
              <w:t>Acción de mejora: Completar el desarrollo del SGC del centro para solicitar la acreditación institucional.</w:t>
              <w:br/>
              <w:t>Evidencia: [PENDIENTE: estado de la solicitud IMPLANTA].</w:t>
            </w:r>
          </w:p>
        </w:tc>
        <w:tc>
          <w:tcPr>
            <w:tcW w:type="dxa" w:w="1739"/>
          </w:tcPr>
          <w:p>
            <w:r>
              <w:t>Media</w:t>
            </w:r>
          </w:p>
        </w:tc>
        <w:tc>
          <w:tcPr>
            <w:tcW w:type="dxa" w:w="1739"/>
          </w:tcPr>
          <w:p>
            <w:r>
              <w:t>Director del Centro</w:t>
            </w:r>
          </w:p>
        </w:tc>
        <w:tc>
          <w:tcPr>
            <w:tcW w:type="dxa" w:w="1736"/>
          </w:tcPr>
          <w:p>
            <w:r>
              <w:t>2025-09-01</w:t>
            </w:r>
          </w:p>
        </w:tc>
        <w:tc>
          <w:tcPr>
            <w:tcW w:type="dxa" w:w="1354"/>
          </w:tcPr>
          <w:p>
            <w:r>
              <w:t>2027-09-30</w:t>
            </w:r>
          </w:p>
        </w:tc>
        <w:tc>
          <w:tcPr>
            <w:tcW w:type="dxa" w:w="2201"/>
          </w:tcPr>
          <w:p>
            <w:r>
              <w:t>Solicitud de acreditación institucional presentada (sí/no).</w:t>
            </w:r>
          </w:p>
        </w:tc>
      </w:tr>
      <w:tr>
        <w:tc>
          <w:tcPr>
            <w:tcW w:type="dxa" w:w="3245"/>
          </w:tcPr>
          <w:p>
            <w:r>
              <w:t>PD-ESI-2.3 (autoinforme 2023-24, no resuelto): no se publica el histórico de planes de mejora ni su calendario de revisión.</w:t>
            </w:r>
          </w:p>
        </w:tc>
        <w:tc>
          <w:tcPr>
            <w:tcW w:type="dxa" w:w="2546"/>
          </w:tcPr>
          <w:p>
            <w:r>
              <w:t>Acción de mejora: Publicar en la web del título los planes de mejora de cursos anteriores y su grado de cumplimiento.</w:t>
              <w:br/>
              <w:t>Evidencia: Web del título [PENDIENTE].</w:t>
            </w:r>
          </w:p>
        </w:tc>
        <w:tc>
          <w:tcPr>
            <w:tcW w:type="dxa" w:w="1739"/>
          </w:tcPr>
          <w:p>
            <w:r>
              <w:t>Baja</w:t>
            </w:r>
          </w:p>
        </w:tc>
        <w:tc>
          <w:tcPr>
            <w:tcW w:type="dxa" w:w="1739"/>
          </w:tcPr>
          <w:p>
            <w:r>
              <w:t>Director del Centro</w:t>
            </w:r>
          </w:p>
        </w:tc>
        <w:tc>
          <w:tcPr>
            <w:tcW w:type="dxa" w:w="1736"/>
          </w:tcPr>
          <w:p>
            <w:r>
              <w:t>2025-09-01</w:t>
            </w:r>
          </w:p>
        </w:tc>
        <w:tc>
          <w:tcPr>
            <w:tcW w:type="dxa" w:w="1354"/>
          </w:tcPr>
          <w:p>
            <w:r>
              <w:t>2027-09-30</w:t>
            </w:r>
          </w:p>
        </w:tc>
        <w:tc>
          <w:tcPr>
            <w:tcW w:type="dxa" w:w="2201"/>
          </w:tcPr>
          <w:p>
            <w:r>
              <w:t>Histórico publicado (sí/no).</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3,31</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3,29</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3,64</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3,45</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4,04</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4,61</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4,65</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4,19</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3,64</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3,38</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4,22</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4,29</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3,64</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70,1</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62,4</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68</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69,2</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67,4</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82,7</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76,7</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80,4</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81,9</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79,8</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84,8</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81,4</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84,6</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84,5</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84,5</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17,6</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15,3</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12,1</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10,4</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25,7</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31,2</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29,9</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77,6</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76,7</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73,4</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77,8</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73,4</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1,14</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1,11</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1,15</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0,47</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0,72</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0,94</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0,23</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1,42</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5,74</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1,84</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0,23</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2,75</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2,39</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3,03</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2,48</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4,25</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4,38</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4,23</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4,63</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4,77</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2,89</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3,54</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2,62</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2,56</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56,5</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58,9</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60,5</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74,4</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70,8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71,8</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73,9</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73,3</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81,8</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77,3</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79,7</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82,5</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38,3</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32,2</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26,8</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17,8</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73,7</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72,8</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71,6</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72,8</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72,1</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5,97</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5,95</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6,34</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6,34</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0,87</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1,26</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1,23</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1,93</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0,88</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1,24</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1,64</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0,52</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0,84</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0,54</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1,58</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3,06</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1,59</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0,44</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0,28</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0,12</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0,31</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2,64</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2,88</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2,76</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3,02</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3,87</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[PENDIENTE: revisar]</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[PENDIENTE: revisar]</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[PENDIENTE: revisar]</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4,65</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3,08</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3,16</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3,44</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2,84</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3,21</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46,97</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36,62</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25,68</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39,44</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40,58</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32,86</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41,89</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24,24</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22,54</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22,54</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11,43</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22,97</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87,5</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52,94</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47,06</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47,47</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42,37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33,09</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47,08</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33,33</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52,53</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45,42</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42,75</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30,74</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39,22</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4,1</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4,2</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4,3</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4,4</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25,29</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24,43</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24,43</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14,4</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22,35</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76,92</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85,94</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85,94</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89,19</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52,63</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23,08</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14,06</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14,06</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8,11</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rsidRPr="00EA51D0">
              <w:rPr>
                <w:rFonts w:asciiTheme="minorHAnsi" w:eastAsia="Times New Roman" w:hAnsiTheme="minorHAnsi"/>
                <w:b/>
                <w:bCs/>
                <w:color w:val="000000"/>
                <w:sz w:val="16"/>
                <w:szCs w:val="16"/>
                <w:lang w:eastAsia="es-ES"/>
              </w:rPr>
              <w:t>47,37</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65,22</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46,48</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50,67</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49,33</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98,57</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101,43</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107,14</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107,14</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97,14</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232,86</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244,29</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285,71</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334,29</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292,86</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17,26</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17,9</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17,8</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17,74</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16,28</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2,77</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2,36</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2,54</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2,71</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4,59</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61,68</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61,49</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57,98</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54,34</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98,96</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103,33</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107,08</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100,83</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133,96</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151,46</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154,79</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173,54</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21,32</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22,36</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29,76</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20,59</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2,83</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2,97</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2,96</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2,59</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3,67</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4,32</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4,27</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4,28</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31,21</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26,97</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30,44</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22,89</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17,58</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34,29</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29,17</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26,03</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26,31</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23,38</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4,42</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4,06</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20,67</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26,19</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20,21</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18,98</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17,31</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17,49</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15,41</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3,53</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3,84</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11,63% (5/43)</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14,29% (10/70)</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23,53% (12/51)</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20,93% (9/43)</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36,36% (24/66)</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20,93</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31,82</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77,78</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77,78</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88,89</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95,24</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88,89</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77,78</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85,71</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3,56</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3,56</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3,13</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2023-24</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 (24/200)</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15,72% (50/318)</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18,03% (53/294)</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12,90% (32/248)</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28,62% (81/283)</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79,25</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12,5</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27,21</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87,5</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90,48</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85,71</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87,1</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87,01</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73,81</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57,14</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58,06</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50,65</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3,39</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3,34</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3,18</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3,25</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0,82</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0,97</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1,36</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2,65</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0,78</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1,36</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1,22</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0,32</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0,25</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0,58</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0,57</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1,29</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0,27</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0,65</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0,04</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0,04</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w:t>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0,75</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0,07</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0,19</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0,19</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0,06</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p w14:paraId="21DAC134" w14:textId="0BE8EDE4" w:rsidR="005436A8" w:rsidRPr="00EA51D0" w:rsidRDefault="00A10ED2" w:rsidP="005436A8">
      <w:pPr>
        <w:pStyle w:val="Ttulo5"/>
        <w:rPr>
          <w:rFonts w:ascii="Times New Roman" w:eastAsia="Times New Roman" w:hAnsi="Times New Roman"/>
        </w:rPr>
      </w:pPr>
      <w:hyperlink r:id="rId65" w:history="1">
        <w:r w:rsidR="005436A8" w:rsidRPr="00EA51D0">
          <w:rPr>
            <w:rStyle w:val="Hipervnculo"/>
            <w:i/>
          </w:rPr>
          <w:t>https://data.uca.es/lincebi</w:t>
        </w:r>
      </w:hyperlink>
      <w:r w:rsidR="005436A8" w:rsidRPr="00EA51D0">
        <w:rPr>
          <w:i/>
        </w:rPr>
        <w:t xml:space="preserve"> - </w:t>
      </w:r>
      <w:r w:rsidR="005436A8" w:rsidRPr="00EA51D0">
        <w:rPr>
          <w:rFonts w:ascii="Calibri" w:eastAsia="Calibri" w:hAnsi="Calibri" w:cs="Times New Roman"/>
          <w:i/>
          <w:color w:val="FF0000"/>
        </w:rPr>
      </w:r>
      <w:proofErr w:type="spellStart"/>
      <w:r w:rsidR="005436A8" w:rsidRPr="00EA51D0">
        <w:rPr>
          <w:rFonts w:ascii="Calibri" w:eastAsia="Calibri" w:hAnsi="Calibri" w:cs="Times New Roman"/>
          <w:i/>
          <w:color w:val="FF0000"/>
        </w:rPr>
      </w:r>
      <w:proofErr w:type="spellEnd"/>
      <w:r w:rsidR="005436A8" w:rsidRPr="00EA51D0">
        <w:rPr>
          <w:rFonts w:ascii="Calibri" w:eastAsia="Calibri" w:hAnsi="Calibri" w:cs="Times New Roman"/>
          <w:i/>
          <w:color w:val="FF0000"/>
        </w:rPr>
      </w:r>
      <w:r w:rsidR="005436A8" w:rsidRPr="00EA51D0">
        <w:t xml:space="preserve"> </w:t>
      </w:r>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r>
              <w:t>Denominación del título: Grado en Ingeniería Aeroespacial</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r>
              <w:t>Universidad/es (si es título conjunto): No procede (Universidad de Cádiz)</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r>
              <w:t>Relación nominal: [PENDIENTE: profesorado de 2024-25 del informe P05 «Personal docente disponible para impartir el título» de LinceBI]</w:t>
            </w: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r>
              <w:t>74</w:t>
            </w: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r>
              <w:t>77,03%</w:t>
            </w: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r>
              <w:t>0</w:t>
            </w: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r>
              <w:t>No procede</w:t>
            </w: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r>
              <w:t>12 ECTS</w:t>
            </w: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r>
              <w:t>[PENDIENTE: plazas ofertadas en 2024-25]</w:t>
            </w: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r>
              <w:t>Entidades: [PENDIENTE: entidades, plazas y tutores de 2024-25 (en 2023-24, Airbus Operations, Alestis, Titania y otras; ver 5.3)]</w:t>
            </w: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r>
              <w:t>Tutores: [PENDIENTE: relación de tutores académicos y profesionales de 2024-25]</w:t>
            </w: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3A87F918" w14:textId="77777777" w:rsidR="00533559" w:rsidRPr="00EA51D0" w:rsidRDefault="00533559" w:rsidP="00533559">
      <w:pPr>
        <w:pStyle w:val="AGAETexto"/>
        <w:spacing w:before="0" w:after="0" w:line="240" w:lineRule="auto"/>
        <w:ind w:left="1080"/>
        <w:rPr>
          <w:i/>
          <w:color w:val="FF0000"/>
        </w:rPr>
      </w:pP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FF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117"/>
        <w:gridCol w:w="2466"/>
        <w:gridCol w:w="2097"/>
        <w:gridCol w:w="2603"/>
        <w:gridCol w:w="3058"/>
      </w:tblGrid>
      <w:tr w:rsidR="00533559" w:rsidRPr="00EA51D0" w14:paraId="36DDC473" w14:textId="77777777" w:rsidTr="006A180A">
        <w:tc>
          <w:tcPr>
            <w:tcW w:w="762" w:type="pct"/>
            <w:tcBorders>
              <w:top w:val="single" w:sz="4" w:space="0" w:color="auto"/>
              <w:left w:val="single" w:sz="4" w:space="0" w:color="auto"/>
              <w:bottom w:val="single" w:sz="4" w:space="0" w:color="auto"/>
              <w:right w:val="single" w:sz="4" w:space="0" w:color="auto"/>
            </w:tcBorders>
          </w:tcPr>
          <w:p w14:paraId="48BECF87" w14:textId="77777777" w:rsidR="00533559" w:rsidRPr="00EA51D0" w:rsidRDefault="00533559" w:rsidP="006A180A">
            <w:pPr>
              <w:pStyle w:val="AGAETexto"/>
              <w:spacing w:before="0" w:after="0" w:line="240" w:lineRule="auto"/>
              <w:rPr>
                <w:rFonts w:ascii="Source Sans Pro" w:hAnsi="Source Sans Pro" w:cs="Tahoma"/>
                <w:sz w:val="18"/>
                <w:szCs w:val="18"/>
              </w:rPr>
            </w:pPr>
          </w:p>
        </w:tc>
        <w:tc>
          <w:tcPr>
            <w:tcW w:w="727" w:type="pct"/>
            <w:tcBorders>
              <w:top w:val="single" w:sz="4" w:space="0" w:color="auto"/>
              <w:left w:val="single" w:sz="4" w:space="0" w:color="auto"/>
              <w:bottom w:val="single" w:sz="4" w:space="0" w:color="auto"/>
              <w:right w:val="single" w:sz="4" w:space="0" w:color="auto"/>
            </w:tcBorders>
            <w:hideMark/>
          </w:tcPr>
          <w:p w14:paraId="5B2C53B8"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Suspensos</w:t>
            </w:r>
          </w:p>
        </w:tc>
        <w:tc>
          <w:tcPr>
            <w:tcW w:w="847" w:type="pct"/>
            <w:tcBorders>
              <w:top w:val="single" w:sz="4" w:space="0" w:color="auto"/>
              <w:left w:val="single" w:sz="4" w:space="0" w:color="auto"/>
              <w:bottom w:val="single" w:sz="4" w:space="0" w:color="auto"/>
              <w:right w:val="single" w:sz="4" w:space="0" w:color="auto"/>
            </w:tcBorders>
            <w:hideMark/>
          </w:tcPr>
          <w:p w14:paraId="4E94A657"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Aprobados</w:t>
            </w:r>
          </w:p>
        </w:tc>
        <w:tc>
          <w:tcPr>
            <w:tcW w:w="720" w:type="pct"/>
            <w:tcBorders>
              <w:top w:val="single" w:sz="4" w:space="0" w:color="auto"/>
              <w:left w:val="single" w:sz="4" w:space="0" w:color="auto"/>
              <w:bottom w:val="single" w:sz="4" w:space="0" w:color="auto"/>
              <w:right w:val="single" w:sz="4" w:space="0" w:color="auto"/>
            </w:tcBorders>
            <w:hideMark/>
          </w:tcPr>
          <w:p w14:paraId="37BE320B"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Notables</w:t>
            </w:r>
          </w:p>
        </w:tc>
        <w:tc>
          <w:tcPr>
            <w:tcW w:w="894" w:type="pct"/>
            <w:tcBorders>
              <w:top w:val="single" w:sz="4" w:space="0" w:color="auto"/>
              <w:left w:val="single" w:sz="4" w:space="0" w:color="auto"/>
              <w:bottom w:val="single" w:sz="4" w:space="0" w:color="auto"/>
              <w:right w:val="single" w:sz="4" w:space="0" w:color="auto"/>
            </w:tcBorders>
            <w:hideMark/>
          </w:tcPr>
          <w:p w14:paraId="1692B30E"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Sobresalientes</w:t>
            </w:r>
          </w:p>
        </w:tc>
        <w:tc>
          <w:tcPr>
            <w:tcW w:w="1050" w:type="pct"/>
            <w:tcBorders>
              <w:top w:val="single" w:sz="4" w:space="0" w:color="auto"/>
              <w:left w:val="single" w:sz="4" w:space="0" w:color="auto"/>
              <w:bottom w:val="single" w:sz="4" w:space="0" w:color="auto"/>
              <w:right w:val="single" w:sz="4" w:space="0" w:color="auto"/>
            </w:tcBorders>
            <w:hideMark/>
          </w:tcPr>
          <w:p w14:paraId="14EBD883" w14:textId="77777777" w:rsidR="00533559" w:rsidRPr="00EA51D0" w:rsidRDefault="00533559" w:rsidP="006A180A">
            <w:pPr>
              <w:pStyle w:val="AGAETexto"/>
              <w:spacing w:before="0" w:after="0" w:line="240" w:lineRule="auto"/>
              <w:rPr>
                <w:rFonts w:ascii="Source Sans Pro" w:hAnsi="Source Sans Pro" w:cs="Tahoma"/>
                <w:sz w:val="18"/>
                <w:szCs w:val="18"/>
              </w:rPr>
            </w:pPr>
            <w:r w:rsidRPr="00EA51D0">
              <w:rPr>
                <w:rFonts w:ascii="Source Sans Pro" w:hAnsi="Source Sans Pro" w:cs="Tahoma"/>
                <w:sz w:val="18"/>
                <w:szCs w:val="18"/>
              </w:rPr>
              <w:t>Matrículas de honor</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r>
              <w:t>Trabajo Fin de Grado</w:t>
            </w:r>
          </w:p>
        </w:tc>
        <w:tc>
          <w:tcPr>
            <w:tcW w:w="727" w:type="pct"/>
            <w:tcBorders>
              <w:top w:val="single" w:sz="4" w:space="0" w:color="auto"/>
              <w:left w:val="single" w:sz="4" w:space="0" w:color="auto"/>
              <w:bottom w:val="single" w:sz="4" w:space="0" w:color="auto"/>
              <w:right w:val="single" w:sz="4" w:space="0" w:color="auto"/>
            </w:tcBorders>
          </w:tcPr>
          <w:p>
            <w:r>
              <w:t>1%</w:t>
            </w:r>
          </w:p>
        </w:tc>
        <w:tc>
          <w:tcPr>
            <w:tcW w:w="847" w:type="pct"/>
            <w:tcBorders>
              <w:top w:val="single" w:sz="4" w:space="0" w:color="auto"/>
              <w:left w:val="single" w:sz="4" w:space="0" w:color="auto"/>
              <w:bottom w:val="single" w:sz="4" w:space="0" w:color="auto"/>
              <w:right w:val="single" w:sz="4" w:space="0" w:color="auto"/>
            </w:tcBorders>
          </w:tcPr>
          <w:p>
            <w:r>
              <w:t>11%</w:t>
            </w:r>
          </w:p>
        </w:tc>
        <w:tc>
          <w:tcPr>
            <w:tcW w:w="720" w:type="pct"/>
            <w:tcBorders>
              <w:top w:val="single" w:sz="4" w:space="0" w:color="auto"/>
              <w:left w:val="single" w:sz="4" w:space="0" w:color="auto"/>
              <w:bottom w:val="single" w:sz="4" w:space="0" w:color="auto"/>
              <w:right w:val="single" w:sz="4" w:space="0" w:color="auto"/>
            </w:tcBorders>
          </w:tcPr>
          <w:p>
            <w:r>
              <w:t>21%</w:t>
            </w:r>
          </w:p>
        </w:tc>
        <w:tc>
          <w:tcPr>
            <w:tcW w:w="894" w:type="pct"/>
            <w:tcBorders>
              <w:top w:val="single" w:sz="4" w:space="0" w:color="auto"/>
              <w:left w:val="single" w:sz="4" w:space="0" w:color="auto"/>
              <w:bottom w:val="single" w:sz="4" w:space="0" w:color="auto"/>
              <w:right w:val="single" w:sz="4" w:space="0" w:color="auto"/>
            </w:tcBorders>
          </w:tcPr>
          <w:p>
            <w:r>
              <w:t>11%</w:t>
            </w:r>
          </w:p>
        </w:tc>
        <w:tc>
          <w:tcPr>
            <w:tcW w:w="1050" w:type="pct"/>
            <w:tcBorders>
              <w:top w:val="single" w:sz="4" w:space="0" w:color="auto"/>
              <w:left w:val="single" w:sz="4" w:space="0" w:color="auto"/>
              <w:bottom w:val="single" w:sz="4" w:space="0" w:color="auto"/>
              <w:right w:val="single" w:sz="4" w:space="0" w:color="auto"/>
            </w:tcBorders>
          </w:tcPr>
          <w:p>
            <w:r>
              <w:t>5%</w:t>
            </w:r>
          </w:p>
        </w:tc>
      </w:tr>
      <w:tr w:rsidR="00533559" w:rsidRPr="00EA51D0" w14:paraId="4B0EE797" w14:textId="77777777" w:rsidTr="006A180A">
        <w:tc>
          <w:tcPr>
            <w:tcW w:w="762" w:type="pct"/>
            <w:tcBorders>
              <w:top w:val="single" w:sz="4" w:space="0" w:color="auto"/>
              <w:left w:val="single" w:sz="4" w:space="0" w:color="auto"/>
              <w:bottom w:val="single" w:sz="4" w:space="0" w:color="auto"/>
              <w:right w:val="single" w:sz="4" w:space="0" w:color="auto"/>
            </w:tcBorders>
            <w:hideMark/>
          </w:tcPr>
          <w:p>
            <w:r>
              <w:t>Mecánica del Vuelo (mención en Aeronaves)</w:t>
            </w:r>
          </w:p>
        </w:tc>
        <w:tc>
          <w:tcPr>
            <w:tcW w:w="727" w:type="pct"/>
            <w:tcBorders>
              <w:top w:val="single" w:sz="4" w:space="0" w:color="auto"/>
              <w:left w:val="single" w:sz="4" w:space="0" w:color="auto"/>
              <w:bottom w:val="single" w:sz="4" w:space="0" w:color="auto"/>
              <w:right w:val="single" w:sz="4" w:space="0" w:color="auto"/>
            </w:tcBorders>
          </w:tcPr>
          <w:p>
            <w:r>
              <w:t>16%</w:t>
            </w:r>
          </w:p>
        </w:tc>
        <w:tc>
          <w:tcPr>
            <w:tcW w:w="847" w:type="pct"/>
            <w:tcBorders>
              <w:top w:val="single" w:sz="4" w:space="0" w:color="auto"/>
              <w:left w:val="single" w:sz="4" w:space="0" w:color="auto"/>
              <w:bottom w:val="single" w:sz="4" w:space="0" w:color="auto"/>
              <w:right w:val="single" w:sz="4" w:space="0" w:color="auto"/>
            </w:tcBorders>
          </w:tcPr>
          <w:p>
            <w:r>
              <w:t>33%</w:t>
            </w:r>
          </w:p>
        </w:tc>
        <w:tc>
          <w:tcPr>
            <w:tcW w:w="720" w:type="pct"/>
            <w:tcBorders>
              <w:top w:val="single" w:sz="4" w:space="0" w:color="auto"/>
              <w:left w:val="single" w:sz="4" w:space="0" w:color="auto"/>
              <w:bottom w:val="single" w:sz="4" w:space="0" w:color="auto"/>
              <w:right w:val="single" w:sz="4" w:space="0" w:color="auto"/>
            </w:tcBorders>
          </w:tcPr>
          <w:p>
            <w:r>
              <w:t>4%</w:t>
            </w:r>
          </w:p>
        </w:tc>
        <w:tc>
          <w:tcPr>
            <w:tcW w:w="894" w:type="pct"/>
            <w:tcBorders>
              <w:top w:val="single" w:sz="4" w:space="0" w:color="auto"/>
              <w:left w:val="single" w:sz="4" w:space="0" w:color="auto"/>
              <w:bottom w:val="single" w:sz="4" w:space="0" w:color="auto"/>
              <w:right w:val="single" w:sz="4" w:space="0" w:color="auto"/>
            </w:tcBorders>
          </w:tcPr>
          <w:p>
            <w:r>
              <w:t>0%</w:t>
            </w:r>
          </w:p>
        </w:tc>
        <w:tc>
          <w:tcPr>
            <w:tcW w:w="1050" w:type="pct"/>
            <w:tcBorders>
              <w:top w:val="single" w:sz="4" w:space="0" w:color="auto"/>
              <w:left w:val="single" w:sz="4" w:space="0" w:color="auto"/>
              <w:bottom w:val="single" w:sz="4" w:space="0" w:color="auto"/>
              <w:right w:val="single" w:sz="4" w:space="0" w:color="auto"/>
            </w:tcBorders>
          </w:tcPr>
          <w:p>
            <w:r>
              <w:t>1%</w:t>
            </w:r>
          </w:p>
        </w:tc>
      </w:tr>
      <w:tr w:rsidR="00533559" w:rsidRPr="00EA51D0" w14:paraId="4D18A438" w14:textId="77777777" w:rsidTr="006A180A">
        <w:tc>
          <w:tcPr>
            <w:tcW w:w="762" w:type="pct"/>
            <w:tcBorders>
              <w:top w:val="single" w:sz="4" w:space="0" w:color="auto"/>
              <w:left w:val="single" w:sz="4" w:space="0" w:color="auto"/>
              <w:bottom w:val="single" w:sz="4" w:space="0" w:color="auto"/>
              <w:right w:val="single" w:sz="4" w:space="0" w:color="auto"/>
            </w:tcBorders>
            <w:hideMark/>
          </w:tcPr>
          <w:p>
            <w:r>
              <w:t>Motores de Aeronaves (*)</w:t>
            </w:r>
          </w:p>
        </w:tc>
        <w:tc>
          <w:tcPr>
            <w:tcW w:w="727" w:type="pct"/>
            <w:tcBorders>
              <w:top w:val="single" w:sz="4" w:space="0" w:color="auto"/>
              <w:left w:val="single" w:sz="4" w:space="0" w:color="auto"/>
              <w:bottom w:val="single" w:sz="4" w:space="0" w:color="auto"/>
              <w:right w:val="single" w:sz="4" w:space="0" w:color="auto"/>
            </w:tcBorders>
          </w:tcPr>
          <w:p>
            <w:r>
              <w:t>37%</w:t>
            </w:r>
          </w:p>
        </w:tc>
        <w:tc>
          <w:tcPr>
            <w:tcW w:w="847" w:type="pct"/>
            <w:tcBorders>
              <w:top w:val="single" w:sz="4" w:space="0" w:color="auto"/>
              <w:left w:val="single" w:sz="4" w:space="0" w:color="auto"/>
              <w:bottom w:val="single" w:sz="4" w:space="0" w:color="auto"/>
              <w:right w:val="single" w:sz="4" w:space="0" w:color="auto"/>
            </w:tcBorders>
          </w:tcPr>
          <w:p>
            <w:r>
              <w:t>49%</w:t>
            </w:r>
          </w:p>
        </w:tc>
        <w:tc>
          <w:tcPr>
            <w:tcW w:w="720" w:type="pct"/>
            <w:tcBorders>
              <w:top w:val="single" w:sz="4" w:space="0" w:color="auto"/>
              <w:left w:val="single" w:sz="4" w:space="0" w:color="auto"/>
              <w:bottom w:val="single" w:sz="4" w:space="0" w:color="auto"/>
              <w:right w:val="single" w:sz="4" w:space="0" w:color="auto"/>
            </w:tcBorders>
          </w:tcPr>
          <w:p>
            <w:r>
              <w:t>5%</w:t>
            </w:r>
          </w:p>
        </w:tc>
        <w:tc>
          <w:tcPr>
            <w:tcW w:w="894" w:type="pct"/>
            <w:tcBorders>
              <w:top w:val="single" w:sz="4" w:space="0" w:color="auto"/>
              <w:left w:val="single" w:sz="4" w:space="0" w:color="auto"/>
              <w:bottom w:val="single" w:sz="4" w:space="0" w:color="auto"/>
              <w:right w:val="single" w:sz="4" w:space="0" w:color="auto"/>
            </w:tcBorders>
          </w:tcPr>
          <w:p>
            <w:r>
              <w:t>0%</w:t>
            </w:r>
          </w:p>
        </w:tc>
        <w:tc>
          <w:tcPr>
            <w:tcW w:w="1050" w:type="pct"/>
            <w:tcBorders>
              <w:top w:val="single" w:sz="4" w:space="0" w:color="auto"/>
              <w:left w:val="single" w:sz="4" w:space="0" w:color="auto"/>
              <w:bottom w:val="single" w:sz="4" w:space="0" w:color="auto"/>
              <w:right w:val="single" w:sz="4" w:space="0" w:color="auto"/>
            </w:tcBorders>
          </w:tcPr>
          <w:p>
            <w: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r>
              <w:t>Fundamentos de Informática</w:t>
            </w:r>
          </w:p>
        </w:tc>
        <w:tc>
          <w:tcPr>
            <w:tcW w:w="727" w:type="pct"/>
            <w:tcBorders>
              <w:top w:val="single" w:sz="4" w:space="0" w:color="auto"/>
              <w:left w:val="single" w:sz="4" w:space="0" w:color="auto"/>
              <w:bottom w:val="single" w:sz="4" w:space="0" w:color="auto"/>
              <w:right w:val="single" w:sz="4" w:space="0" w:color="auto"/>
            </w:tcBorders>
          </w:tcPr>
          <w:p>
            <w:r>
              <w:t>34%</w:t>
            </w:r>
          </w:p>
        </w:tc>
        <w:tc>
          <w:tcPr>
            <w:tcW w:w="847" w:type="pct"/>
            <w:tcBorders>
              <w:top w:val="single" w:sz="4" w:space="0" w:color="auto"/>
              <w:left w:val="single" w:sz="4" w:space="0" w:color="auto"/>
              <w:bottom w:val="single" w:sz="4" w:space="0" w:color="auto"/>
              <w:right w:val="single" w:sz="4" w:space="0" w:color="auto"/>
            </w:tcBorders>
          </w:tcPr>
          <w:p>
            <w:r>
              <w:t>33%</w:t>
            </w:r>
          </w:p>
        </w:tc>
        <w:tc>
          <w:tcPr>
            <w:tcW w:w="720" w:type="pct"/>
            <w:tcBorders>
              <w:top w:val="single" w:sz="4" w:space="0" w:color="auto"/>
              <w:left w:val="single" w:sz="4" w:space="0" w:color="auto"/>
              <w:bottom w:val="single" w:sz="4" w:space="0" w:color="auto"/>
              <w:right w:val="single" w:sz="4" w:space="0" w:color="auto"/>
            </w:tcBorders>
          </w:tcPr>
          <w:p>
            <w:r>
              <w:t>10%</w:t>
            </w:r>
          </w:p>
        </w:tc>
        <w:tc>
          <w:tcPr>
            <w:tcW w:w="894" w:type="pct"/>
            <w:tcBorders>
              <w:top w:val="single" w:sz="4" w:space="0" w:color="auto"/>
              <w:left w:val="single" w:sz="4" w:space="0" w:color="auto"/>
              <w:bottom w:val="single" w:sz="4" w:space="0" w:color="auto"/>
              <w:right w:val="single" w:sz="4" w:space="0" w:color="auto"/>
            </w:tcBorders>
          </w:tcPr>
          <w:p>
            <w:r>
              <w:t>0%</w:t>
            </w:r>
          </w:p>
        </w:tc>
        <w:tc>
          <w:tcPr>
            <w:tcW w:w="1050" w:type="pct"/>
            <w:tcBorders>
              <w:top w:val="single" w:sz="4" w:space="0" w:color="auto"/>
              <w:left w:val="single" w:sz="4" w:space="0" w:color="auto"/>
              <w:bottom w:val="single" w:sz="4" w:space="0" w:color="auto"/>
              <w:right w:val="single" w:sz="4" w:space="0" w:color="auto"/>
            </w:tcBorders>
          </w:tcPr>
          <w:p>
            <w: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r>
              <w:t>Cálculo</w:t>
            </w:r>
          </w:p>
        </w:tc>
        <w:tc>
          <w:tcPr>
            <w:tcW w:w="727" w:type="pct"/>
            <w:tcBorders>
              <w:top w:val="single" w:sz="4" w:space="0" w:color="auto"/>
              <w:left w:val="single" w:sz="4" w:space="0" w:color="auto"/>
              <w:bottom w:val="single" w:sz="4" w:space="0" w:color="auto"/>
              <w:right w:val="single" w:sz="4" w:space="0" w:color="auto"/>
            </w:tcBorders>
          </w:tcPr>
          <w:p>
            <w:r>
              <w:t>10%</w:t>
            </w:r>
          </w:p>
        </w:tc>
        <w:tc>
          <w:tcPr>
            <w:tcW w:w="847" w:type="pct"/>
            <w:tcBorders>
              <w:top w:val="single" w:sz="4" w:space="0" w:color="auto"/>
              <w:left w:val="single" w:sz="4" w:space="0" w:color="auto"/>
              <w:bottom w:val="single" w:sz="4" w:space="0" w:color="auto"/>
              <w:right w:val="single" w:sz="4" w:space="0" w:color="auto"/>
            </w:tcBorders>
          </w:tcPr>
          <w:p>
            <w:r>
              <w:t>56%</w:t>
            </w:r>
          </w:p>
        </w:tc>
        <w:tc>
          <w:tcPr>
            <w:tcW w:w="720" w:type="pct"/>
            <w:tcBorders>
              <w:top w:val="single" w:sz="4" w:space="0" w:color="auto"/>
              <w:left w:val="single" w:sz="4" w:space="0" w:color="auto"/>
              <w:bottom w:val="single" w:sz="4" w:space="0" w:color="auto"/>
              <w:right w:val="single" w:sz="4" w:space="0" w:color="auto"/>
            </w:tcBorders>
          </w:tcPr>
          <w:p>
            <w:r>
              <w:t>26%</w:t>
            </w:r>
          </w:p>
        </w:tc>
        <w:tc>
          <w:tcPr>
            <w:tcW w:w="894" w:type="pct"/>
            <w:tcBorders>
              <w:top w:val="single" w:sz="4" w:space="0" w:color="auto"/>
              <w:left w:val="single" w:sz="4" w:space="0" w:color="auto"/>
              <w:bottom w:val="single" w:sz="4" w:space="0" w:color="auto"/>
              <w:right w:val="single" w:sz="4" w:space="0" w:color="auto"/>
            </w:tcBorders>
          </w:tcPr>
          <w:p>
            <w:r>
              <w:t>0%</w:t>
            </w:r>
          </w:p>
        </w:tc>
        <w:tc>
          <w:tcPr>
            <w:tcW w:w="1050" w:type="pct"/>
            <w:tcBorders>
              <w:top w:val="single" w:sz="4" w:space="0" w:color="auto"/>
              <w:left w:val="single" w:sz="4" w:space="0" w:color="auto"/>
              <w:bottom w:val="single" w:sz="4" w:space="0" w:color="auto"/>
              <w:right w:val="single" w:sz="4" w:space="0" w:color="auto"/>
            </w:tcBorders>
          </w:tcPr>
          <w:p>
            <w:r>
              <w:t>0%</w:t>
            </w:r>
          </w:p>
        </w:tc>
      </w:tr>
      <w:tr w:rsidR="00533559" w:rsidRPr="00EA51D0" w14:paraId="66734F53" w14:textId="77777777" w:rsidTr="006A180A">
        <w:tc>
          <w:tcPr>
            <w:tcW w:w="762" w:type="pct"/>
            <w:tcBorders>
              <w:top w:val="single" w:sz="4" w:space="0" w:color="auto"/>
              <w:left w:val="single" w:sz="4" w:space="0" w:color="auto"/>
              <w:bottom w:val="single" w:sz="4" w:space="0" w:color="auto"/>
              <w:right w:val="single" w:sz="4" w:space="0" w:color="auto"/>
            </w:tcBorders>
            <w:hideMark/>
          </w:tcPr>
          <w:p>
            <w:r>
              <w:t>Tecnologías de Conformado</w:t>
            </w:r>
          </w:p>
        </w:tc>
        <w:tc>
          <w:tcPr>
            <w:tcW w:w="727" w:type="pct"/>
            <w:tcBorders>
              <w:top w:val="single" w:sz="4" w:space="0" w:color="auto"/>
              <w:left w:val="single" w:sz="4" w:space="0" w:color="auto"/>
              <w:bottom w:val="single" w:sz="4" w:space="0" w:color="auto"/>
              <w:right w:val="single" w:sz="4" w:space="0" w:color="auto"/>
            </w:tcBorders>
          </w:tcPr>
          <w:p>
            <w:r>
              <w:t>0%</w:t>
            </w:r>
          </w:p>
        </w:tc>
        <w:tc>
          <w:tcPr>
            <w:tcW w:w="847" w:type="pct"/>
            <w:tcBorders>
              <w:top w:val="single" w:sz="4" w:space="0" w:color="auto"/>
              <w:left w:val="single" w:sz="4" w:space="0" w:color="auto"/>
              <w:bottom w:val="single" w:sz="4" w:space="0" w:color="auto"/>
              <w:right w:val="single" w:sz="4" w:space="0" w:color="auto"/>
            </w:tcBorders>
          </w:tcPr>
          <w:p>
            <w:r>
              <w:t>16%</w:t>
            </w:r>
          </w:p>
        </w:tc>
        <w:tc>
          <w:tcPr>
            <w:tcW w:w="720" w:type="pct"/>
            <w:tcBorders>
              <w:top w:val="single" w:sz="4" w:space="0" w:color="auto"/>
              <w:left w:val="single" w:sz="4" w:space="0" w:color="auto"/>
              <w:bottom w:val="single" w:sz="4" w:space="0" w:color="auto"/>
              <w:right w:val="single" w:sz="4" w:space="0" w:color="auto"/>
            </w:tcBorders>
          </w:tcPr>
          <w:p>
            <w:r>
              <w:t>84%</w:t>
            </w:r>
          </w:p>
        </w:tc>
        <w:tc>
          <w:tcPr>
            <w:tcW w:w="894" w:type="pct"/>
            <w:tcBorders>
              <w:top w:val="single" w:sz="4" w:space="0" w:color="auto"/>
              <w:left w:val="single" w:sz="4" w:space="0" w:color="auto"/>
              <w:bottom w:val="single" w:sz="4" w:space="0" w:color="auto"/>
              <w:right w:val="single" w:sz="4" w:space="0" w:color="auto"/>
            </w:tcBorders>
          </w:tcPr>
          <w:p>
            <w:r>
              <w:t>0%</w:t>
            </w:r>
          </w:p>
        </w:tc>
        <w:tc>
          <w:tcPr>
            <w:tcW w:w="1050" w:type="pct"/>
            <w:tcBorders>
              <w:top w:val="single" w:sz="4" w:space="0" w:color="auto"/>
              <w:left w:val="single" w:sz="4" w:space="0" w:color="auto"/>
              <w:bottom w:val="single" w:sz="4" w:space="0" w:color="auto"/>
              <w:right w:val="single" w:sz="4" w:space="0" w:color="auto"/>
            </w:tcBorders>
          </w:tcPr>
          <w:p>
            <w:r>
              <w:t>0%</w:t>
            </w:r>
          </w:p>
        </w:tc>
      </w:tr>
      <w:tr w:rsidR="00533559" w:rsidRPr="005C0007" w14:paraId="1D166437" w14:textId="77777777" w:rsidTr="006A180A">
        <w:tc>
          <w:tcPr>
            <w:tcW w:w="762" w:type="pct"/>
            <w:tcBorders>
              <w:top w:val="single" w:sz="4" w:space="0" w:color="auto"/>
              <w:left w:val="single" w:sz="4" w:space="0" w:color="auto"/>
              <w:bottom w:val="single" w:sz="4" w:space="0" w:color="auto"/>
              <w:right w:val="single" w:sz="4" w:space="0" w:color="auto"/>
            </w:tcBorders>
            <w:hideMark/>
          </w:tcPr>
          <w:p>
            <w:r>
              <w:t>GLOBAL (totales del plan)</w:t>
            </w:r>
          </w:p>
        </w:tc>
        <w:tc>
          <w:tcPr>
            <w:tcW w:w="727" w:type="pct"/>
            <w:tcBorders>
              <w:top w:val="single" w:sz="4" w:space="0" w:color="auto"/>
              <w:left w:val="single" w:sz="4" w:space="0" w:color="auto"/>
              <w:bottom w:val="single" w:sz="4" w:space="0" w:color="auto"/>
              <w:right w:val="single" w:sz="4" w:space="0" w:color="auto"/>
            </w:tcBorders>
            <w:hideMark/>
          </w:tcPr>
          <w:p>
            <w:r>
              <w:t>13%</w:t>
            </w:r>
          </w:p>
        </w:tc>
        <w:tc>
          <w:tcPr>
            <w:tcW w:w="847" w:type="pct"/>
            <w:tcBorders>
              <w:top w:val="single" w:sz="4" w:space="0" w:color="auto"/>
              <w:left w:val="single" w:sz="4" w:space="0" w:color="auto"/>
              <w:bottom w:val="single" w:sz="4" w:space="0" w:color="auto"/>
              <w:right w:val="single" w:sz="4" w:space="0" w:color="auto"/>
            </w:tcBorders>
            <w:hideMark/>
          </w:tcPr>
          <w:p>
            <w:r>
              <w:t>40%</w:t>
            </w:r>
          </w:p>
        </w:tc>
        <w:tc>
          <w:tcPr>
            <w:tcW w:w="720" w:type="pct"/>
            <w:tcBorders>
              <w:top w:val="single" w:sz="4" w:space="0" w:color="auto"/>
              <w:left w:val="single" w:sz="4" w:space="0" w:color="auto"/>
              <w:bottom w:val="single" w:sz="4" w:space="0" w:color="auto"/>
              <w:right w:val="single" w:sz="4" w:space="0" w:color="auto"/>
            </w:tcBorders>
            <w:hideMark/>
          </w:tcPr>
          <w:p>
            <w:r>
              <w:t>23%</w:t>
            </w:r>
          </w:p>
        </w:tc>
        <w:tc>
          <w:tcPr>
            <w:tcW w:w="894" w:type="pct"/>
            <w:tcBorders>
              <w:top w:val="single" w:sz="4" w:space="0" w:color="auto"/>
              <w:left w:val="single" w:sz="4" w:space="0" w:color="auto"/>
              <w:bottom w:val="single" w:sz="4" w:space="0" w:color="auto"/>
              <w:right w:val="single" w:sz="4" w:space="0" w:color="auto"/>
            </w:tcBorders>
            <w:hideMark/>
          </w:tcPr>
          <w:p>
            <w:r>
              <w:t>3%</w:t>
            </w:r>
          </w:p>
        </w:tc>
        <w:tc>
          <w:tcPr>
            <w:tcW w:w="1050" w:type="pct"/>
            <w:tcBorders>
              <w:top w:val="single" w:sz="4" w:space="0" w:color="auto"/>
              <w:left w:val="single" w:sz="4" w:space="0" w:color="auto"/>
              <w:bottom w:val="single" w:sz="4" w:space="0" w:color="auto"/>
              <w:right w:val="single" w:sz="4" w:space="0" w:color="auto"/>
            </w:tcBorders>
            <w:hideMark/>
          </w:tcPr>
          <w:p>
            <w:r>
              <w:t>0%</w:t>
            </w:r>
          </w:p>
        </w:tc>
      </w:tr>
    </w:tbl>
    <w:p>
      <w:pPr>
        <w:spacing w:after="0" w:line="240" w:lineRule="auto"/>
        <w:jc w:val="both"/>
        <w:rPr>
          <w:rFonts w:asciiTheme="minorHAnsi" w:hAnsiTheme="minorHAnsi"/>
          <w:sz w:val="20"/>
          <w:szCs w:val="20"/>
          <w:shd w:val="clear" w:color="auto" w:fill="FFFFFF"/>
        </w:rPr>
      </w:pPr>
      <w:r>
        <w:rPr>
          <w:rFonts w:asciiTheme="minorHAnsi" w:hAnsiTheme="minorHAnsi"/>
          <w:bCs/>
          <w:sz w:val="20"/>
          <w:szCs w:val="20"/>
        </w:rPr>
        <w:t xml:space="preserve">Porcentajes sobre el estudiantado matriculado en 2024-25 (plan 1716); la diferencia hasta el 100% corresponde a no presentados (véase la tabla del apartado 6.3). (*) Aprobados incluye el 2% de aprobados por compensación.</w:t>
      </w:r>
    </w:p>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s://ws262.juntadeandalucia.es/accua/?id=informestitulo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s://esingenieria.uca.es/docencia/grados/g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s://esingenieria.uca.es/docencia/grados/gia/"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s://esingenieria.uca.es/docencia/grados/gia/"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s://tfgm.uca.es/" TargetMode="External"/><Relationship Id="rId27" Type="http://schemas.openxmlformats.org/officeDocument/2006/relationships/hyperlink" Target="https://esingenieria.uca.es/docencia/grados/gia/" TargetMode="External"/><Relationship Id="rId30" Type="http://schemas.openxmlformats.org/officeDocument/2006/relationships/hyperlink" Target="https://esingenieria.uca.es/docencia/grados/gia/"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s://esingenieria.uca.es/docencia/grados/gia/"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