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087D76"/>
          <w:sz w:val="28"/>
        </w:rPr>
        <w:t>ESS  /  WAVETEST</w:t>
      </w:r>
    </w:p>
    <w:p>
      <w:pPr>
        <w:spacing w:before="240" w:after="360"/>
      </w:pPr>
      <w:r>
        <w:rPr>
          <w:b/>
          <w:color w:val="142D46"/>
          <w:sz w:val="64"/>
        </w:rPr>
        <w:t>把录波，变成</w:t>
        <w:br/>
        <w:t>可复核的测试结论。</w:t>
      </w:r>
    </w:p>
    <w:p>
      <w:pPr>
        <w:spacing w:after="240"/>
      </w:pPr>
      <w:r>
        <w:rPr>
          <w:color w:val="64768B"/>
          <w:sz w:val="22"/>
        </w:rPr>
        <w:t>储能系统厂内测试</w:t>
        <w:br/>
        <w:t>使用说明与案例分析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173999" cy="1660779"/>
            <wp:docPr id="1" name="Picture 1" descr="manual_her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999" cy="16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COMTRADE 解析  /  通道映射  /  数字与模拟断言  /  证据报告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326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307 项</w:t>
            </w:r>
          </w:p>
        </w:tc>
        <w:tc>
          <w:tcPr>
            <w:tcW w:type="dxa" w:w="326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23 组</w:t>
            </w:r>
          </w:p>
        </w:tc>
        <w:tc>
          <w:tcPr>
            <w:tcW w:type="dxa" w:w="326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512 通道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自动化检查通过</w:t>
            </w:r>
          </w:p>
        </w:tc>
        <w:tc>
          <w:tcPr>
            <w:tcW w:type="dxa" w:w="326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生成录波案例回归</w:t>
            </w:r>
          </w:p>
        </w:tc>
        <w:tc>
          <w:tcPr>
            <w:tcW w:type="dxa" w:w="326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已测规模：128 模拟 + 384 数字</w:t>
            </w:r>
          </w:p>
        </w:tc>
      </w:tr>
    </w:tbl>
    <w:p>
      <w:pPr>
        <w:keepNext/>
        <w:spacing w:after="40" w:before="0" w:line="40" w:lineRule="exact"/>
      </w:pPr>
    </w:p>
    <w:p>
      <w:r>
        <w:t>版本 1.0.0  ·  2026 年 10 月 11 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工程验证版，不是认证结论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本手册和软件提供可运行的分析工具。随附阈值均为教学示例；尚未使用你们的真实厂家录波与经审核的标准条款做现场验收。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02 /  FIELD GUIDE</w:t>
      </w:r>
    </w:p>
    <w:p>
      <w:pPr>
        <w:pStyle w:val="Heading1"/>
      </w:pPr>
      <w:r>
        <w:t>交付导览</w:t>
      </w:r>
    </w:p>
    <w:p>
      <w:pPr>
        <w:spacing w:after="240"/>
      </w:pPr>
      <w:r>
        <w:rPr>
          <w:color w:val="64768B"/>
          <w:sz w:val="22"/>
        </w:rPr>
        <w:t>先跑通一个案例，再把通道与限值替换成你们的项目配置。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tblHeader/>
          <w:cantSplit/>
        </w:trPr>
        <w:tc>
          <w:tcPr>
            <w:tcW w:type="dxa" w:w="2835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6973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ESS_WaveTest.pyz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单文件 Python 应用；中文工作台、CLI、报告均包含在内。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start.bat / start.sh</w:t>
            </w:r>
          </w:p>
        </w:tc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Windows / macOS、Linux 的启动入口。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examples/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23 组 CFG/DAT/JSON 案例、预期清单、最小用例。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reports/</w:t>
            </w:r>
          </w:p>
        </w:tc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正常、失败、数据不足报告；自测、回归与性能证据。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docs/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本手册 PDF / 可编辑 DOCX、完整 JSON 配置参考。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esswave/ + tests/ + tools/</w:t>
            </w:r>
          </w:p>
        </w:tc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完整源码、自动化自测、性能与重打包工具。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README.md / LICENSE.txt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快速上手、边界说明与 MIT 许可。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3"/>
        <w:gridCol w:w="2835"/>
      </w:tblGrid>
      <w:tr>
        <w:trPr>
          <w:tblHeader/>
          <w:cantSplit/>
        </w:trPr>
        <w:tc>
          <w:tcPr>
            <w:tcW w:type="dxa" w:w="6973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对应页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第一次使用：安装、导入、界面、通道匹配</w:t>
            </w:r>
          </w:p>
        </w:tc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03–05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编写用例：数字、模拟、触发、JSON、标准</w:t>
            </w:r>
          </w:p>
        </w:tc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06–10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理解结果：正常、超调、异常数据、案例库</w:t>
            </w:r>
          </w:p>
        </w:tc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11–14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评估可靠性：测试证据、性能边界</w:t>
            </w:r>
          </w:p>
        </w:tc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15–16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厂内集成：批处理、排错、二次开发</w:t>
            </w:r>
          </w:p>
        </w:tc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17–19</w:t>
            </w:r>
          </w:p>
        </w:tc>
      </w:tr>
      <w:tr>
        <w:trPr>
          <w:cantSplit/>
        </w:trPr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查证标准来源与交付范围</w:t>
            </w:r>
          </w:p>
        </w:tc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20</w:t>
            </w:r>
          </w:p>
        </w:tc>
      </w:tr>
    </w:tbl>
    <w:p>
      <w:pPr>
        <w:keepNext/>
        <w:spacing w:after="40" w:before="0" w:line="4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软件做什么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读取离线录波并评估配置中可观测的断言；不向 PCS、BMS 或保护设备下发动作，不替代试验台的安全联锁。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03 /  FIELD GUIDE</w:t>
      </w:r>
    </w:p>
    <w:p>
      <w:pPr>
        <w:pStyle w:val="Heading1"/>
      </w:pPr>
      <w:r>
        <w:t>第一次运行</w:t>
      </w:r>
    </w:p>
    <w:p>
      <w:pPr>
        <w:spacing w:after="240"/>
      </w:pPr>
      <w:r>
        <w:rPr>
          <w:color w:val="64768B"/>
          <w:sz w:val="22"/>
        </w:rPr>
        <w:t>运行只需要 Python 标准库，不需要 pip，也不需要联网调用服务。</w:t>
      </w:r>
    </w:p>
    <w:p>
      <w:pPr>
        <w:pStyle w:val="Heading2"/>
      </w:pPr>
      <w:r>
        <w:t>准备运行环境</w:t>
      </w:r>
    </w:p>
    <w:p>
      <w:r>
        <w:t>安装 Python 3.10 或以上，并确认命令行能运行 python --version。将完整压缩包解压到本地可写目录，避免直接在压缩包预览窗口中启动。</w:t>
      </w:r>
    </w:p>
    <w:p>
      <w:pPr>
        <w:pStyle w:val="Heading2"/>
      </w:pPr>
      <w:r>
        <w:t>Windows</w:t>
      </w:r>
    </w:p>
    <w:p>
      <w:r>
        <w:t>双击 start.bat。启动脚本先尝试 py -3，再尝试 python。保留命令行窗口；它就是正在运行的本机服务。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python ESS_WaveTest.pyz gui</w:t>
      </w:r>
    </w:p>
    <w:p>
      <w:pPr>
        <w:pStyle w:val="Heading2"/>
      </w:pPr>
      <w:r>
        <w:t>macOS / Linux</w:t>
      </w:r>
    </w:p>
    <w:p>
      <w:r>
        <w:t>进入解压目录，在终端执行：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python3 ESS_WaveTest.pyz gui</w:t>
      </w:r>
    </w:p>
    <w:p>
      <w:r>
        <w:t>也可执行 bash start.sh。默认浏览器地址是本机 http://127.0.0.1:8765；不是互联网网站。</w:t>
      </w:r>
    </w:p>
    <w:p>
      <w:pPr>
        <w:pStyle w:val="Heading2"/>
      </w:pPr>
      <w:r>
        <w:t>验证第一条完整流程</w:t>
      </w:r>
    </w:p>
    <w:p>
      <w:r>
        <w:t>进入“录波与通道”，保持演示为“正常响应”，点击“载入演示”，然后点击“运行全部断言”。结果页应显示 6 项通过。进入“结果报告”导出 HTML，离线打开即可复核与打印。</w:t>
      </w:r>
    </w:p>
    <w:p>
      <w:r>
        <w:t>把演示改为“响应过慢”或“采样间隙”再运行。前者应出现失败；后者应出现数据不足。这些是故意设置的反例。</w:t>
      </w:r>
    </w:p>
    <w:p>
      <w:pPr>
        <w:pStyle w:val="Heading2"/>
      </w:pPr>
      <w:r>
        <w:t>端口与退出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python ESS_WaveTest.pyz gui --port 8766</w:t>
        <w:br/>
        <w:t># 结束服务：在启动它的终端按 Ctrl+C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验证环境说明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实际执行环境为 Linux / Python 3.13.5。已提供 Windows 与 macOS 启动方式，但未在对应系统实机验证；本交付不是免 Python 的原生 EXE。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04 /  FIELD GUIDE</w:t>
      </w:r>
    </w:p>
    <w:p>
      <w:pPr>
        <w:pStyle w:val="Heading1"/>
      </w:pPr>
      <w:r>
        <w:t>中文工作台</w:t>
      </w:r>
    </w:p>
    <w:p>
      <w:pPr>
        <w:spacing w:after="240"/>
      </w:pPr>
      <w:r>
        <w:rPr>
          <w:color w:val="64768B"/>
          <w:sz w:val="22"/>
        </w:rPr>
        <w:t>一条流程：导入录波 → 匹配通道 → 配置断言 → 查看证据。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173999" cy="5485164"/>
            <wp:docPr id="2" name="Picture 2" descr="图 1  实际工作台界面。截图由离线界面与核心联动测试产生，非设计效果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999" cy="548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实际工作台界面。截图由离线界面与核心联动测试产生，非设计效果图。</w:t>
      </w:r>
    </w:p>
    <w:p>
      <w:r>
        <w:t>导入时同时选择 CFG 与 DAT；通道浏览区按名称、编号或单位搜索。点击预览核对信号；图中抽稀只影响显示，断言仍使用全量采样。</w:t>
      </w:r>
    </w:p>
    <w:p>
      <w:r>
        <w:t>“用例与断言”支持通道映射、六类可视化断言、JSON 导入与保存；复杂参数以完整 JSON 为准。“结果报告”展示测量值、限值、判定及原始证据。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05 /  FIELD GUIDE</w:t>
      </w:r>
    </w:p>
    <w:p>
      <w:pPr>
        <w:pStyle w:val="Heading1"/>
      </w:pPr>
      <w:r>
        <w:t>先把通道选对</w:t>
      </w:r>
    </w:p>
    <w:p>
      <w:pPr>
        <w:spacing w:after="240"/>
      </w:pPr>
      <w:r>
        <w:rPr>
          <w:color w:val="64768B"/>
          <w:sz w:val="22"/>
        </w:rPr>
        <w:t>用业务别名隔离不同厂家命名，但不允许软件猜测关键通道。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061"/>
        <w:gridCol w:w="4762"/>
      </w:tblGrid>
      <w:tr>
        <w:trPr>
          <w:tblHeader/>
          <w:cantSplit/>
        </w:trPr>
        <w:tc>
          <w:tcPr>
            <w:tcW w:type="dxa" w:w="198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选择器</w:t>
            </w:r>
          </w:p>
        </w:tc>
        <w:tc>
          <w:tcPr>
            <w:tcW w:type="dxa" w:w="3061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762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精确名称 name</w:t>
            </w:r>
          </w:p>
        </w:tc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有功功率</w:t>
            </w:r>
          </w:p>
        </w:tc>
        <w:tc>
          <w:tcPr>
            <w:tcW w:type="dxa" w:w="476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只接受唯一匹配。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备选名称 names</w:t>
            </w:r>
          </w:p>
        </w:tc>
        <w:tc>
          <w:tcPr>
            <w:tcW w:type="dxa" w:w="306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["P反馈", "有功功率"]</w:t>
            </w:r>
          </w:p>
        </w:tc>
        <w:tc>
          <w:tcPr>
            <w:tcW w:type="dxa" w:w="476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所有候选中仍只能匹配一条。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编号 index</w:t>
            </w:r>
          </w:p>
        </w:tc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3</w:t>
            </w:r>
          </w:p>
        </w:tc>
        <w:tc>
          <w:tcPr>
            <w:tcW w:type="dxa" w:w="476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本类型内从 1 起；不是总通道位置。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通配符 pattern</w:t>
            </w:r>
          </w:p>
        </w:tc>
        <w:tc>
          <w:tcPr>
            <w:tcW w:type="dxa" w:w="306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PCS1_*P*</w:t>
            </w:r>
          </w:p>
        </w:tc>
        <w:tc>
          <w:tcPr>
            <w:tcW w:type="dxa" w:w="476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fnmatch 风格；不是正则表达式。</w:t>
            </w:r>
          </w:p>
        </w:tc>
      </w:tr>
    </w:tbl>
    <w:p>
      <w:pPr>
        <w:keepNext/>
        <w:spacing w:after="40" w:before="0" w:line="40" w:lineRule="exact"/>
      </w:pPr>
    </w:p>
    <w:p>
      <w:r>
        <w:t>每个别名必须声明 analog 或 digital。零匹配、多匹配、类型不符都返回 ERROR。不要用含糊的“*功率*”把有功、无功和目标值混为一条。</w:t>
      </w:r>
    </w:p>
    <w:p>
      <w:pPr>
        <w:pStyle w:val="Heading2"/>
      </w:pPr>
      <w:r>
        <w:t>工程量转换顺序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CFG 工程值 = a × 原始采样值 + b</w:t>
        <w:br/>
        <w:t>目标侧工程值 = CFG 工程值 × 显式一次/二次变比</w:t>
        <w:br/>
        <w:t>最终值 = 目标侧工程值 × scale + offset</w:t>
      </w:r>
    </w:p>
    <w:p>
      <w:r>
        <w:t>side 默认 native，不自动换算。选择 primary / secondary 时按 CFG 的记录侧别和变比换算。1991 格式缺少侧别元数据，本版只允许 native。模拟通道的 skew 按微秒加入各自时间轴。</w:t>
      </w:r>
    </w:p>
    <w:p>
      <w:pPr>
        <w:pStyle w:val="Heading2"/>
      </w:pPr>
      <w:r>
        <w:t>显式单位换算示例：W → kW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"power": {</w:t>
        <w:br/>
        <w:t xml:space="preserve">  "kind": "analog", "name": "P反馈",</w:t>
        <w:br/>
        <w:t xml:space="preserve">  "unit": "W", "scale": 0.001, "output_unit": "kW"</w:t>
        <w:br/>
        <w:t>}</w:t>
      </w:r>
    </w:p>
    <w:p>
      <w:r>
        <w:t>unit 用于核对 CFG 原始单位；output_unit 是转换后单位。改变 output_unit 必须显式写 scale，软件不会自行判断量纲或猜测换算。所有阈值使用转换后的工程单位。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上线前的人工核对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至少确认一次有功功率正负方向、通道侧别、CT/PT 比例与单位。数字量的 0/1 有效电平在断言里声明，不支持用模拟 scale 隐式反相。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06 /  FIELD GUIDE</w:t>
      </w:r>
    </w:p>
    <w:p>
      <w:pPr>
        <w:pStyle w:val="Heading1"/>
      </w:pPr>
      <w:r>
        <w:t>数字量：变位、脉冲与保持</w:t>
      </w:r>
    </w:p>
    <w:p>
      <w:pPr>
        <w:spacing w:after="240"/>
      </w:pPr>
      <w:r>
        <w:rPr>
          <w:color w:val="64768B"/>
          <w:sz w:val="22"/>
        </w:rPr>
        <w:t>先确定有效电平与时间基准，再讨论次数、宽度和时延。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4252"/>
      </w:tblGrid>
      <w:tr>
        <w:trPr>
          <w:tblHeader/>
          <w:cantSplit/>
        </w:trPr>
        <w:tc>
          <w:tcPr>
            <w:tcW w:type="dxa" w:w="192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断言</w:t>
            </w:r>
          </w:p>
        </w:tc>
        <w:tc>
          <w:tcPr>
            <w:tcW w:type="dxa" w:w="362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关注内容</w:t>
            </w:r>
          </w:p>
        </w:tc>
        <w:tc>
          <w:tcPr>
            <w:tcW w:type="dxa" w:w="4252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关键参数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digital_edge</w:t>
            </w:r>
          </w:p>
        </w:tc>
        <w:tc>
          <w:tcPr>
            <w:tcW w:type="dxa" w:w="362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是否出现指定方向的变位；次数和每次时延。</w:t>
            </w:r>
          </w:p>
        </w:tc>
        <w:tc>
          <w:tcPr>
            <w:tcW w:type="dxa" w:w="425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edge / count / latency_min_s / latency_max_s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digital_pulse</w:t>
            </w:r>
          </w:p>
        </w:tc>
        <w:tc>
          <w:tcPr>
            <w:tcW w:type="dxa" w:w="362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完整有效脉冲的数量与宽度；可高有效或低有效。</w:t>
            </w:r>
          </w:p>
        </w:tc>
        <w:tc>
          <w:tcPr>
            <w:tcW w:type="dxa" w:w="425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active / count / min_width_s / max_width_s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digital_hold</w:t>
            </w:r>
          </w:p>
        </w:tc>
        <w:tc>
          <w:tcPr>
            <w:tcW w:type="dxa" w:w="362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整个窗口内保持 0 或 1；默认逐点检查。</w:t>
            </w:r>
          </w:p>
        </w:tc>
        <w:tc>
          <w:tcPr>
            <w:tcW w:type="dxa" w:w="425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value / debounce_s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例：1 个高有效脉冲，30–80 ms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{</w:t>
        <w:br/>
        <w:t xml:space="preserve">  "id": "D02", "type": "digital_pulse",</w:t>
        <w:br/>
        <w:t xml:space="preserve">  "channel": "close_pulse", "window": [0, 0.5],</w:t>
        <w:br/>
        <w:t xml:space="preserve">  "trigger": {"type": "time", "at": 0.2},</w:t>
        <w:br/>
        <w:t xml:space="preserve">  "active": 1, "count": 1,</w:t>
        <w:br/>
        <w:t xml:space="preserve">  "min_width_s": 0.03, "max_width_s": 0.08,</w:t>
        <w:br/>
        <w:t xml:space="preserve">  "debounce_s": 0.002</w:t>
        <w:br/>
        <w:t>}</w:t>
      </w:r>
    </w:p>
    <w:p>
      <w:pPr>
        <w:pStyle w:val="Heading2"/>
      </w:pPr>
      <w:r>
        <w:t>去抖不是免费预处理</w:t>
      </w:r>
    </w:p>
    <w:p>
      <w:r>
        <w:t>debounce_s 默认 0。设置后，原始前沿只有在后续维持新状态达到指定时间时才被确认；报告仍使用原始前沿时刻，不把去抖等待计入设备时延。</w:t>
      </w:r>
    </w:p>
    <w:p>
      <w:r>
        <w:t>保持断言默认能抓到单采样点告警。显式去抖会允许忽略短暂变位，等于改变了“保持不变”的验收含义。窗口末端还没观察够去抖时间时，不会静默判为通过。</w:t>
      </w:r>
    </w:p>
    <w:p>
      <w:pPr>
        <w:pStyle w:val="Heading2"/>
      </w:pPr>
      <w:r>
        <w:t>完整脉冲与时间保护带</w:t>
      </w:r>
    </w:p>
    <w:p>
      <w:r>
        <w:t>必须看见前沿和后沿。窗口开始已有效但无可用前沿，或结束仍未复位，均为 INCONCLUSIVE。guard_band_s 可在时间限值附近设置人工复核带；它不是自动计算的计量不确定度。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采样分辨率必须被尊重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1 ms 采样并不证明真实边沿就在某个采样时刻。限值接近采样间隔时，应提高采样率、审核时钟及延迟链路，并约定判定保护带。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07 /  FIELD GUIDE</w:t>
      </w:r>
    </w:p>
    <w:p>
      <w:pPr>
        <w:pStyle w:val="Heading1"/>
      </w:pPr>
      <w:r>
        <w:t>模拟量：把指标口径说清楚</w:t>
      </w:r>
    </w:p>
    <w:p>
      <w:pPr>
        <w:spacing w:after="240"/>
      </w:pPr>
      <w:r>
        <w:rPr>
          <w:color w:val="64768B"/>
          <w:sz w:val="22"/>
        </w:rPr>
        <w:t>响应时间、上升时间和调节时间不是同一项指标。</w:t>
      </w:r>
    </w:p>
    <w:p>
      <w:r>
        <w:t>对功率、直流量或设备导出的 RMS / 幅值反馈做阶跃分析；不要把瞬时交流正弦直接当作功率阶跃反馈。B 是基线均值，T 是目标，A=T−B；D 是明确选择的归一化分母。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40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本版定义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超调量</w:t>
            </w:r>
          </w:p>
        </w:tc>
        <w:tc>
          <w:tcPr>
            <w:tcW w:type="dxa" w:w="754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100 × max(0, max(sign(A) × (y−T))) / D，正负阶跃统一处理。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动作延迟 latency</w:t>
            </w:r>
          </w:p>
        </w:tc>
        <w:tc>
          <w:tcPr>
            <w:tcW w:type="dxa" w:w="754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触发 → 首次低阈值穿越，默认 10%。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响应时间 response</w:t>
            </w:r>
          </w:p>
        </w:tc>
        <w:tc>
          <w:tcPr>
            <w:tcW w:type="dxa" w:w="754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触发 → 首次高阈值穿越，默认 90%。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上升/下降时间 rise</w:t>
            </w:r>
          </w:p>
        </w:tc>
        <w:tc>
          <w:tcPr>
            <w:tcW w:type="dxa" w:w="754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高阈值穿越时刻 − 低阈值穿越时刻。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调节时间 settling</w:t>
            </w:r>
          </w:p>
        </w:tc>
        <w:tc>
          <w:tcPr>
            <w:tcW w:type="dxa" w:w="754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最后一次带外采样后的首个带内采样；随后一直在带内至窗口末端，且满足最短观察时长。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稳态误差</w:t>
            </w:r>
          </w:p>
        </w:tc>
        <w:tc>
          <w:tcPr>
            <w:tcW w:type="dxa" w:w="754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100 × |末端稳态窗口时间加权均值 − T| / 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稳态峰峰值</w:t>
            </w:r>
          </w:p>
        </w:tc>
        <w:tc>
          <w:tcPr>
            <w:tcW w:type="dxa" w:w="754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稳态窗口最大值 − 最小值，使用最终工程单位。</w:t>
            </w:r>
          </w:p>
        </w:tc>
      </w:tr>
    </w:tbl>
    <w:p>
      <w:pPr>
        <w:keepNext/>
        <w:spacing w:after="40" w:before="0" w:line="40" w:lineRule="exact"/>
      </w:pPr>
    </w:p>
    <w:p>
      <w:r>
        <w:t>D 可选阶跃幅值绝对值、额定值或目标绝对值。目标为 0 时不能用 target 归一化；零幅阶跃没有可定义的阶跃响应。目标通道可替代固定目标，但目标窗口必须完整且足够稳定。</w:t>
      </w:r>
    </w:p>
    <w:p>
      <w:pPr>
        <w:pStyle w:val="Heading2"/>
      </w:pPr>
      <w:r>
        <w:t>范围与窗口 RMS</w:t>
      </w:r>
    </w:p>
    <w:p>
      <w:r>
        <w:t>analog_range 检查窗口极值；analog_rms 对分段线性重构信号的平方做精确积分，不是简单采样均方根，也不是滑动 RMS 或 PLL 同步测量。</w:t>
      </w:r>
    </w:p>
    <w:p>
      <w:pPr>
        <w:keepLines/>
        <w:spacing w:before="80" w:after="180" w:line="232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6"/>
        </w:rPr>
        <w:t>RMS = sqrt( Σ[Δt × (y0² + y0×y1 + y1²) / 3] / 窗口时长 )</w:t>
      </w:r>
    </w:p>
    <w:p>
      <w:r>
        <w:t>教学正弦以 1 kHz 采样、50 Hz、理想有效值 220 V 生成；本版线性重构约得 218.2 V。差异体现测量约定，不应伪装成任意电能质量标准算法。已有 RMS 通道通常应使用 range / step。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08 /  FIELD GUIDE</w:t>
      </w:r>
    </w:p>
    <w:p>
      <w:pPr>
        <w:pStyle w:val="Heading1"/>
      </w:pPr>
      <w:r>
        <w:t>触发、窗口与数据质量</w:t>
      </w:r>
    </w:p>
    <w:p>
      <w:pPr>
        <w:spacing w:after="240"/>
      </w:pPr>
      <w:r>
        <w:rPr>
          <w:color w:val="64768B"/>
          <w:sz w:val="22"/>
        </w:rPr>
        <w:t>不知道是否真正执行试验，不等于设备试验失败。</w:t>
      </w:r>
    </w:p>
    <w:p>
      <w:pPr>
        <w:pStyle w:val="Heading2"/>
      </w:pPr>
      <w:r>
        <w:t>两套时间坐标</w:t>
      </w:r>
    </w:p>
    <w:p>
      <w:r>
        <w:t>全部配置时间单位为秒。触发器的 search 是相对录波起点的绝对时间；断言 window、baseline_window、target_window 则相对该断言的触发时刻。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触发命令在录波 0.2 s</w:t>
        <w:br/>
        <w:t>window = [0, 1.5]      → 分析录波 0.2–1.7 s</w:t>
        <w:br/>
        <w:t>baseline = [-0.15,-0.01] → 取录波 0.05–0.19 s</w:t>
      </w:r>
    </w:p>
    <w:p>
      <w:r>
        <w:t>未写 trigger 时以 time.at=0 为起点，不自动读取 CFG 的 trigger 字段。需要使用 CFG 触发时刻时，把 inspect 输出的 trigger_s 显式填入。支持固定时间、指定次数字变位与模拟阈值穿越触发。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783"/>
        <w:gridCol w:w="1984"/>
      </w:tblGrid>
      <w:tr>
        <w:trPr>
          <w:tblHeader/>
          <w:cantSplit/>
        </w:trPr>
        <w:tc>
          <w:tcPr>
            <w:tcW w:type="dxa" w:w="2041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783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8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是否放行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PASS</w:t>
            </w:r>
          </w:p>
        </w:tc>
        <w:tc>
          <w:tcPr>
            <w:tcW w:type="dxa" w:w="578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所选证据完整，全部已配置限值满足。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仅表示本套配置通过。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FAIL</w:t>
            </w:r>
          </w:p>
        </w:tc>
        <w:tc>
          <w:tcPr>
            <w:tcW w:type="dxa" w:w="578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可可靠测量，且至少一项断言不满足。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不放行。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INCONCLUSIVE</w:t>
            </w:r>
          </w:p>
        </w:tc>
        <w:tc>
          <w:tcPr>
            <w:tcW w:type="dxa" w:w="578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缺触发、缺采样、缺失值、窗口截断或需复核。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不自动放行。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ERROR</w:t>
            </w:r>
          </w:p>
        </w:tc>
        <w:tc>
          <w:tcPr>
            <w:tcW w:type="dxa" w:w="578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配置、通道、解析或执行错误。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先修正输入或配置。</w:t>
            </w:r>
          </w:p>
        </w:tc>
      </w:tr>
    </w:tbl>
    <w:p>
      <w:pPr>
        <w:keepNext/>
        <w:spacing w:after="40" w:before="0" w:line="40" w:lineRule="exact"/>
      </w:pPr>
    </w:p>
    <w:p>
      <w:r>
        <w:t>汇总优先级：ERROR &gt; FAIL &gt; INCONCLUSIVE &gt; PASS。各项原因仍保留在报告，不会被汇总结果覆盖。</w:t>
      </w:r>
    </w:p>
    <w:p>
      <w:pPr>
        <w:pStyle w:val="Heading2"/>
      </w:pPr>
      <w:r>
        <w:t>不悄悄“修好”坏数据</w:t>
      </w:r>
    </w:p>
    <w:p>
      <w:r>
        <w:t>窗口必须完整覆盖；选中窗口含缺失值或疑似采样间隙时不判通过。时间戳全不可用时可按声明采样率重建并告警；部分缺失、时间倒退、重复时间、样本序号不连续则拒绝解析。</w:t>
      </w:r>
    </w:p>
    <w:p>
      <w:r>
        <w:t>间隙检测依赖采样率或时间差中位数，是保守启发式。它不是硬件丢点检测器；不规则事件采样应结合 max_gap_s 与项目时间基准人工审核。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09 /  FIELD GUIDE</w:t>
      </w:r>
    </w:p>
    <w:p>
      <w:pPr>
        <w:pStyle w:val="Heading1"/>
      </w:pPr>
      <w:r>
        <w:t>一个完整的最小用例</w:t>
      </w:r>
    </w:p>
    <w:p>
      <w:pPr>
        <w:spacing w:after="240"/>
      </w:pPr>
      <w:r>
        <w:rPr>
          <w:color w:val="64768B"/>
          <w:sz w:val="22"/>
        </w:rPr>
        <w:t>保存为 UTF-8 JSON；完整字段说明见同目录 CONFIG_REFERENCE.md。</w:t>
      </w:r>
    </w:p>
    <w:p>
      <w:pPr>
        <w:keepLines/>
        <w:spacing w:before="80" w:after="180" w:line="248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8"/>
        </w:rPr>
        <w:t>{</w:t>
        <w:br/>
        <w:t xml:space="preserve">  "schema_version": 1,</w:t>
        <w:br/>
        <w:t xml:space="preserve">  "name": "教学：100 kW 功率阶跃",</w:t>
        <w:br/>
        <w:t xml:space="preserve">  "channels": {</w:t>
        <w:br/>
        <w:t xml:space="preserve">    "cmd": {"kind": "digital", "name": "启动命令"},</w:t>
        <w:br/>
        <w:t xml:space="preserve">    "power": {"kind": "analog", "name": "有功功率", "unit": "kW"}</w:t>
        <w:br/>
        <w:t xml:space="preserve">  },</w:t>
        <w:br/>
        <w:t xml:space="preserve">  "tests": [{</w:t>
        <w:br/>
        <w:t xml:space="preserve">    "id": "P01", "type": "analog_step", "channel": "power",</w:t>
        <w:br/>
        <w:t xml:space="preserve">    "trigger": {</w:t>
        <w:br/>
        <w:t xml:space="preserve">      "type": "digital_edge", "channel": "cmd",</w:t>
        <w:br/>
        <w:t xml:space="preserve">      "edge": "rising", "search": [0, 1]</w:t>
        <w:br/>
        <w:t xml:space="preserve">    },</w:t>
        <w:br/>
        <w:t xml:space="preserve">    "window": [0, 1.5],</w:t>
        <w:br/>
        <w:t xml:space="preserve">    "baseline_window": [-0.15, -0.01],</w:t>
        <w:br/>
        <w:t xml:space="preserve">    "target": 100,</w:t>
        <w:br/>
        <w:t xml:space="preserve">    "normalization": "rated", "rated": 100,</w:t>
        <w:br/>
        <w:t xml:space="preserve">    "steady_last_s": 0.25,</w:t>
        <w:br/>
        <w:t xml:space="preserve">    "settle_band_pct": 2, "settle_hold_s": 0.1,</w:t>
        <w:br/>
        <w:t xml:space="preserve">    "limits": {</w:t>
        <w:br/>
        <w:t xml:space="preserve">      "overshoot_pct_max": 5,</w:t>
        <w:br/>
        <w:t xml:space="preserve">      "response_s_max": 0.4,</w:t>
        <w:br/>
        <w:t xml:space="preserve">      "steady_error_pct_max": 1</w:t>
        <w:br/>
        <w:t xml:space="preserve">    }</w:t>
        <w:br/>
        <w:t xml:space="preserve">  }]</w:t>
        <w:br/>
        <w:t>}</w:t>
      </w:r>
    </w:p>
    <w:p>
      <w:r>
        <w:t>运行这个用例时选择 examples/01_pass_binary.cfg。完整文件已提供为 examples/manual_minimal_case.json。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限值只是教学示例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5%、0.4 s 和 1% 并非本手册引用的国家标准限值。未列入 limits 的指标只展示，不参与限值判定。JSON 不支持注释；未知字段会报错，而不是被悄悄忽略。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10 /  FIELD GUIDE</w:t>
      </w:r>
    </w:p>
    <w:p>
      <w:pPr>
        <w:pStyle w:val="Heading1"/>
      </w:pPr>
      <w:r>
        <w:t>标准如何进入验收规则</w:t>
      </w:r>
    </w:p>
    <w:p>
      <w:pPr>
        <w:spacing w:after="240"/>
      </w:pPr>
      <w:r>
        <w:rPr>
          <w:color w:val="64768B"/>
          <w:sz w:val="22"/>
        </w:rPr>
        <w:t>标准、测量算法和用例配置必须分别审核，不能只写一个“符合国标”。</w:t>
      </w:r>
    </w:p>
    <w:p>
      <w:r>
        <w:t>IEC 61850 系列涵盖电力自动化互操作、信息模型、SCL、通信服务与协议。它不能直接作为所有储能超调量、响应时间的统一限值来源。[1]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rPr>
          <w:tblHeader/>
          <w:cantSplit/>
        </w:trPr>
        <w:tc>
          <w:tcPr>
            <w:tcW w:type="dxa" w:w="3402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标准及版次</w:t>
            </w:r>
          </w:p>
        </w:tc>
        <w:tc>
          <w:tcPr>
            <w:tcW w:type="dxa" w:w="6406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公开目录中的名称 / 用途定位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IEC 60255-24:2013 [2]</w:t>
            </w:r>
          </w:p>
        </w:tc>
        <w:tc>
          <w:tcPr>
            <w:tcW w:type="dxa" w:w="640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电力系统暂态数据交换格式 COMTRADE；解决录波数据交换，不是本工具的全部验收限值。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GB/T 34120-2023 [3]</w:t>
            </w:r>
          </w:p>
        </w:tc>
        <w:tc>
          <w:tcPr>
            <w:tcW w:type="dxa" w:w="6406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电化学储能系统储能变流器技术要求；针对 PCS 技术要求核对适用条款。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GB/T 34133-2023 [4]</w:t>
            </w:r>
          </w:p>
        </w:tc>
        <w:tc>
          <w:tcPr>
            <w:tcW w:type="dxa" w:w="640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储能变流器检测技术规程；核对 PCS 检测方法与试验条件。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GB/T 36547-2024 [5]</w:t>
            </w:r>
          </w:p>
        </w:tc>
        <w:tc>
          <w:tcPr>
            <w:tcW w:type="dxa" w:w="6406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电化学储能电站接入电网技术规定；区分电站接入层级与单机厂内试验。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GB/T 36548-2024 [6]</w:t>
            </w:r>
          </w:p>
        </w:tc>
        <w:tc>
          <w:tcPr>
            <w:tcW w:type="dxa" w:w="640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电化学储能电站接入电网测试规程；核对接入电网测试的适用对象与方法。</w:t>
            </w:r>
          </w:p>
        </w:tc>
      </w:tr>
    </w:tbl>
    <w:p>
      <w:pPr>
        <w:keepNext/>
        <w:spacing w:after="40" w:before="0" w:line="40" w:lineRule="exact"/>
      </w:pPr>
    </w:p>
    <w:p>
      <w:r>
        <w:t>上列四项 GB/T 在官方公开目录查询时显示现行，检索日期 2026-10-11。本次核实的是目录信息，未逐条核实或内置标准全文中的验收阈值。[3–6]</w:t>
      </w:r>
    </w:p>
    <w:p>
      <w:pPr>
        <w:pStyle w:val="Heading2"/>
      </w:pPr>
      <w:r>
        <w:t>建议的审核链</w:t>
      </w:r>
    </w:p>
    <w:p>
      <w:r>
        <w:t>先确定对象是 PCS 单机、储能单元还是整站，再确定运行模式与试验条件；随后从合法标准文本或项目技术协议中确认条款、限值、测量方法、归一化分母、时间窗与不确定度处理。最终由负责人审核 JSON 并冻结版本。</w:t>
      </w:r>
    </w:p>
    <w:p>
      <w:pPr>
        <w:keepLines/>
        <w:spacing w:before="80" w:after="180" w:line="237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"standard": {</w:t>
        <w:br/>
        <w:t xml:space="preserve">  "reference": "项目技术协议 / 已核对的标准版次",</w:t>
        <w:br/>
        <w:t xml:space="preserve">  "clause": "经核实的条款号", "reviewed": true,</w:t>
        <w:br/>
        <w:t xml:space="preserve">  "reviewer": "项目审核人", "note": "对象、工况及测量约定"</w:t>
        <w:br/>
        <w:t>}</w:t>
      </w:r>
    </w:p>
    <w:p>
      <w:r>
        <w:t>reviewed=true 只记录用户的审核声明，不代表软件已经读过条款，也不是认证、电子签名或法规适用性判断。单项断言可记录自己的依据。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11 /  FIELD GUIDE</w:t>
      </w:r>
    </w:p>
    <w:p>
      <w:pPr>
        <w:pStyle w:val="Heading1"/>
      </w:pPr>
      <w:r>
        <w:t>案例 A：正常功率阶跃</w:t>
      </w:r>
    </w:p>
    <w:p>
      <w:pPr>
        <w:spacing w:after="240"/>
      </w:pPr>
      <w:r>
        <w:rPr>
          <w:color w:val="64768B"/>
          <w:sz w:val="22"/>
        </w:rPr>
        <w:t>文件：01_pass_binary.cfg  /  结论：PASS，6 项断言通过。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173999" cy="4554589"/>
            <wp:docPr id="3" name="Picture 3" descr="图 2  单文件应用实际导出的功率阶跃报告。绿线为目标，浅色带为调节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999" cy="455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单文件应用实际导出的功率阶跃报告。绿线为目标，浅色带为调节带。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345"/>
        <w:gridCol w:w="3345"/>
      </w:tblGrid>
      <w:tr>
        <w:trPr>
          <w:tblHeader/>
          <w:cantSplit/>
        </w:trPr>
        <w:tc>
          <w:tcPr>
            <w:tcW w:type="dxa" w:w="311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其他检查</w:t>
            </w:r>
          </w:p>
        </w:tc>
        <w:tc>
          <w:tcPr>
            <w:tcW w:type="dxa" w:w="3345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实际测量</w:t>
            </w:r>
          </w:p>
        </w:tc>
        <w:tc>
          <w:tcPr>
            <w:tcW w:type="dxa" w:w="3345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教学限值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运行反馈变位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 次；时延 41 ms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 次；10–100 ms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合闸脉冲</w:t>
            </w:r>
          </w:p>
        </w:tc>
        <w:tc>
          <w:tcPr>
            <w:tcW w:type="dxa" w:w="334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 次；宽度 51 ms</w:t>
            </w:r>
          </w:p>
        </w:tc>
        <w:tc>
          <w:tcPr>
            <w:tcW w:type="dxa" w:w="334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 次；30–80 ms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故障告警保持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违规采样点 0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保持 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直流母线电压</w:t>
            </w:r>
          </w:p>
        </w:tc>
        <w:tc>
          <w:tcPr>
            <w:tcW w:type="dxa" w:w="334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698–702 V</w:t>
            </w:r>
          </w:p>
        </w:tc>
        <w:tc>
          <w:tcPr>
            <w:tcW w:type="dxa" w:w="334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680–720 V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交流窗口 RMS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218.196 V</w:t>
            </w:r>
          </w:p>
        </w:tc>
        <w:tc>
          <w:tcPr>
            <w:tcW w:type="dxa" w:w="334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215–225 V</w:t>
            </w:r>
          </w:p>
        </w:tc>
      </w:tr>
    </w:tbl>
    <w:p>
      <w:pPr>
        <w:keepNext/>
        <w:spacing w:after="40" w:before="0" w:line="40" w:lineRule="exact"/>
      </w:pPr>
    </w:p>
    <w:p>
      <w:r>
        <w:t>目标为 100 kW，额定归一化分母为 100 kW。报告的响应时间约 184.23 ms，上升时间约 175.80 ms，调节时间为 313 ms。量化后的稳态误差为 0，不代表真实设备或测量系统没有误差。</w:t>
      </w:r>
    </w:p>
    <w:p>
      <w:r>
        <w:t>数字时刻按实际离散采样计算：此文件的反馈与脉宽测得 41 ms、51 ms，而不是把生成器中的名义时刻直接当成测量答案。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12 /  FIELD GUIDE</w:t>
      </w:r>
    </w:p>
    <w:p>
      <w:pPr>
        <w:pStyle w:val="Heading1"/>
      </w:pPr>
      <w:r>
        <w:t>案例 B：稳态很好，仍然失败</w:t>
      </w:r>
    </w:p>
    <w:p>
      <w:pPr>
        <w:spacing w:after="240"/>
      </w:pPr>
      <w:r>
        <w:rPr>
          <w:color w:val="64768B"/>
          <w:sz w:val="22"/>
        </w:rPr>
        <w:t>文件：06_overshoot.cfg  /  结论：FAIL，超调项越限。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173999" cy="4554589"/>
            <wp:docPr id="4" name="Picture 4" descr="图 3  真实失败报告：快速到达目标并不代表全过程满足要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oversh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999" cy="455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真实失败报告：快速到达目标并不代表全过程满足要求。</w:t>
      </w:r>
    </w:p>
    <w:p>
      <w:r>
        <w:t>峰值为 118.9002 kW，超调量约 18.9002%，超过教学上限 5%；响应时间约 183.92 ms、调节时间 463 ms 均满足配置要求。末端稳态误差接近零，不能抵消超调失败。</w:t>
      </w:r>
    </w:p>
    <w:p>
      <w:pPr>
        <w:pStyle w:val="Heading2"/>
      </w:pPr>
      <w:r>
        <w:t>另一种反例：响应过慢</w:t>
      </w:r>
    </w:p>
    <w:p>
      <w:r>
        <w:t>05_slow_response.cfg 中，响应时间为 1.1515 s，超过 0.4 s 上限。即使曲线方向正确、没有明显过冲，也不能只靠“最后看起来接近目标”判通过。实际各项测量与失败原因保存在对应回归报告中。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复核方式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先核对触发和工程单位，再看各指标的定义、实际值与限值。不要根据单张缩放后的曲线凭视觉替代断言。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13 /  FIELD GUIDE</w:t>
      </w:r>
    </w:p>
    <w:p>
      <w:pPr>
        <w:pStyle w:val="Heading1"/>
      </w:pPr>
      <w:r>
        <w:t>案例 C：故障与证据不足分开</w:t>
      </w:r>
    </w:p>
    <w:p>
      <w:pPr>
        <w:spacing w:after="240"/>
      </w:pPr>
      <w:r>
        <w:rPr>
          <w:color w:val="64768B"/>
          <w:sz w:val="22"/>
        </w:rPr>
        <w:t>一个 FAIL 表示已观测到不合格；一个 INCONCLUSIVE 表示尚不能可靠判定。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984"/>
        <w:gridCol w:w="5499"/>
      </w:tblGrid>
      <w:tr>
        <w:trPr>
          <w:tblHeader/>
          <w:cantSplit/>
        </w:trPr>
        <w:tc>
          <w:tcPr>
            <w:tcW w:type="dxa" w:w="232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198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549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分析与行动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08 宽脉冲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FAIL</w:t>
            </w:r>
          </w:p>
        </w:tc>
        <w:tc>
          <w:tcPr>
            <w:tcW w:type="dxa" w:w="549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完整脉冲可观测，宽度超限。复核脉宽窗口和电平定义。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09 告警毛刺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FAIL</w:t>
            </w:r>
          </w:p>
        </w:tc>
        <w:tc>
          <w:tcPr>
            <w:tcW w:type="dxa" w:w="549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默认不去抖的保持断言抓到短暂告警；不要为了通过而事后添加去抖。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10 缺少触发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INCONCLUSIVE</w:t>
            </w:r>
          </w:p>
        </w:tc>
        <w:tc>
          <w:tcPr>
            <w:tcW w:type="dxa" w:w="549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没有找到试验激励。检查命令通道、搜索窗、录波起止点及试验是否执行。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11 模拟缺失值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INCONCLUSIVE</w:t>
            </w:r>
          </w:p>
        </w:tc>
        <w:tc>
          <w:tcPr>
            <w:tcW w:type="dxa" w:w="549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选中功率窗口存在缺失值；受影响断言不放行，其他完整通道仍独立分析。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12 采样间隙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INCONCLUSIVE</w:t>
            </w:r>
          </w:p>
        </w:tc>
        <w:tc>
          <w:tcPr>
            <w:tcW w:type="dxa" w:w="549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本例触发搜索与分析窗口受间隙影响，6 项均不放行。核查时钟与采样链路。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16 未结束脉冲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INCONCLUSIVE</w:t>
            </w:r>
          </w:p>
        </w:tc>
        <w:tc>
          <w:tcPr>
            <w:tcW w:type="dxa" w:w="549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没有后沿，不能把残余片段算作一个完整脉冲；延长录波窗口。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17 从不响应</w:t>
            </w:r>
          </w:p>
        </w:tc>
        <w:tc>
          <w:tcPr>
            <w:tcW w:type="dxa" w:w="198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FAIL</w:t>
            </w:r>
          </w:p>
        </w:tc>
        <w:tc>
          <w:tcPr>
            <w:tcW w:type="dxa" w:w="549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已有可靠触发且观察时间足够，反馈仍未到阈值；不是“因为没有指标就跳过”。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21 缺少反馈边沿</w:t>
            </w:r>
          </w:p>
        </w:tc>
        <w:tc>
          <w:tcPr>
            <w:tcW w:type="dxa" w:w="198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FAIL</w:t>
            </w:r>
          </w:p>
        </w:tc>
        <w:tc>
          <w:tcPr>
            <w:tcW w:type="dxa" w:w="549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7"/>
              </w:rPr>
              <w:t>试验触发存在，但要求的反馈变位次数不满足。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三条现场处理规则</w:t>
      </w:r>
    </w:p>
    <w:p>
      <w:r>
        <w:t>先修正 ERROR，再处理 FAIL 与 INCONCLUSIVE 的原因。不要把缺失通道自动映射为相近名字，也不要裁剪窗口后伪装成完整观察。</w:t>
      </w:r>
    </w:p>
    <w:p>
      <w:r>
        <w:t>保持原始录波不变，把改动后的用例另存版本；复测报告中保留配置哈希。对边沿刚好压限、波形已在触发前动作等情况保留人工复核结论。</w:t>
      </w:r>
    </w:p>
    <w:p>
      <w:r>
        <w:t>JUnit 将 INCONCLUSIVE 写成 error，而不是 skipped，避免持续集成平台把数据不足当作成功跳过。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14 /  FIELD GUIDE</w:t>
      </w:r>
    </w:p>
    <w:p>
      <w:pPr>
        <w:pStyle w:val="Heading1"/>
      </w:pPr>
      <w:r>
        <w:t>23 组可重复的案例库</w:t>
      </w:r>
    </w:p>
    <w:p>
      <w:pPr>
        <w:spacing w:after="240"/>
      </w:pPr>
      <w:r>
        <w:rPr>
          <w:color w:val="64768B"/>
          <w:sz w:val="22"/>
        </w:rPr>
        <w:t>每组均有 CFG、DAT、JSON；清单记录“正确的预期结论”，不是要求所有文件都 PASS。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350"/>
        <w:gridCol w:w="2324"/>
      </w:tblGrid>
      <w:tr>
        <w:trPr>
          <w:tblHeader/>
          <w:cantSplit/>
        </w:trPr>
        <w:tc>
          <w:tcPr>
            <w:tcW w:type="dxa" w:w="113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6350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测试意图</w:t>
            </w:r>
          </w:p>
        </w:tc>
        <w:tc>
          <w:tcPr>
            <w:tcW w:type="dxa" w:w="2324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01–04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正常响应；四种 DAT 格式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05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响应过慢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06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明显超调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07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稳态偏差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08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脉冲过宽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09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告警短暂变位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10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命令触发缺失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11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模拟量缺失标记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12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时间轴采样间隙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13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负向阶跃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14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零目标阶跃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15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接点抖动与显式去抖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16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脉冲窗口截断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17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触发后从不响应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18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持续振荡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19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小幅测量噪声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20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中文 GB18030 / GBK 兼容录波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21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反馈边沿缺失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22</w:t>
            </w:r>
          </w:p>
        </w:tc>
        <w:tc>
          <w:tcPr>
            <w:tcW w:type="dxa" w:w="6350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128 模拟 + 384 数字通道</w:t>
            </w:r>
          </w:p>
        </w:tc>
        <w:tc>
          <w:tcPr>
            <w:tcW w:type="dxa" w:w="2324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23</w:t>
            </w:r>
          </w:p>
        </w:tc>
        <w:tc>
          <w:tcPr>
            <w:tcW w:type="dxa" w:w="6350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不可用时间戳按采样率重建</w:t>
            </w:r>
          </w:p>
        </w:tc>
        <w:tc>
          <w:tcPr>
            <w:tcW w:type="dxa" w:w="2324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6"/>
              </w:rPr>
              <w:t>PASS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Caption"/>
      </w:pPr>
      <w:r>
        <w:t>生成命令：python ESS_WaveTest.pyz generate --out generated_examples。重跑清单：python ESS_WaveTest.pyz batch --manifest examples/manifest.json --out regression_results。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15 /  FIELD GUIDE</w:t>
      </w:r>
    </w:p>
    <w:p>
      <w:pPr>
        <w:pStyle w:val="Heading1"/>
      </w:pPr>
      <w:r>
        <w:t>验证做到了哪里</w:t>
      </w:r>
    </w:p>
    <w:p>
      <w:pPr>
        <w:spacing w:after="240"/>
      </w:pPr>
      <w:r>
        <w:rPr>
          <w:color w:val="64768B"/>
          <w:sz w:val="22"/>
        </w:rPr>
        <w:t>有限的、可复现的工程证据；不是“所有厂家、所有工况绝对可靠”的证明。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268"/>
        <w:gridCol w:w="4932"/>
      </w:tblGrid>
      <w:tr>
        <w:trPr>
          <w:tblHeader/>
          <w:cantSplit/>
        </w:trPr>
        <w:tc>
          <w:tcPr>
            <w:tcW w:type="dxa" w:w="260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2268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本次结果</w:t>
            </w:r>
          </w:p>
        </w:tc>
        <w:tc>
          <w:tcPr>
            <w:tcW w:type="dxa" w:w="4932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标准库自动化测试</w:t>
            </w:r>
          </w:p>
        </w:tc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307 / 307 通过</w:t>
            </w:r>
          </w:p>
        </w:tc>
        <w:tc>
          <w:tcPr>
            <w:tcW w:type="dxa" w:w="493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解析、算法、随机场景、CLI、报告、真实回环 HTTP。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生成案例回归</w:t>
            </w:r>
          </w:p>
        </w:tc>
        <w:tc>
          <w:tcPr>
            <w:tcW w:type="dxa" w:w="226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23 / 23 符合预期</w:t>
            </w:r>
          </w:p>
        </w:tc>
        <w:tc>
          <w:tcPr>
            <w:tcW w:type="dxa" w:w="493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包含 PASS、FAIL 与 INCONCLUSIVE；已计入上述测试集。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分支模式覆盖率</w:t>
            </w:r>
          </w:p>
        </w:tc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综合 93%</w:t>
            </w:r>
          </w:p>
        </w:tc>
        <w:tc>
          <w:tcPr>
            <w:tcW w:type="dxa" w:w="493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coverage 统计语句与分支的综合结果，不是 100% 分支覆盖。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隔离浏览器联动</w:t>
            </w:r>
          </w:p>
        </w:tc>
        <w:tc>
          <w:tcPr>
            <w:tcW w:type="dxa" w:w="2268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11 / 11 通过</w:t>
            </w:r>
          </w:p>
        </w:tc>
        <w:tc>
          <w:tcPr>
            <w:tcW w:type="dxa" w:w="4932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Chromium 内实际页面、可视化编辑、核心执行、文件输入、导出内容、窄屏。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最终单文件冒烟</w:t>
            </w:r>
          </w:p>
        </w:tc>
        <w:tc>
          <w:tcPr>
            <w:tcW w:type="dxa" w:w="2268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5 / 5 通过</w:t>
            </w:r>
          </w:p>
        </w:tc>
        <w:tc>
          <w:tcPr>
            <w:tcW w:type="dxa" w:w="4932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新进程启动 pyz、静态资源、真实 HTTP 执行与导出。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避免只让生成器“证明自己”</w:t>
      </w:r>
    </w:p>
    <w:p>
      <w:r>
        <w:t>解析测试还使用手写字节向量与固定格式样本；阶跃算法对照 40 个固定随机种子的一阶系统解析公式，并做仿射变换等价性检查。数字脉冲另含 40 个固定种子的正反例。不是仅把同一段生成代码的输出再读回来。</w:t>
      </w:r>
    </w:p>
    <w:p>
      <w:r>
        <w:t>边界测试覆盖负阶跃、零目标、采样缺失、分段采样率、比例与侧别、skew、短脉冲、末端去抖、畸形配置、CSV 公式文本、路径和接口输入等。测试日志保留了逐项结果。</w:t>
      </w:r>
    </w:p>
    <w:p>
      <w:pPr>
        <w:pStyle w:val="Heading2"/>
      </w:pPr>
      <w:r>
        <w:t>尚未完成的验证</w:t>
      </w:r>
    </w:p>
    <w:p>
      <w:r>
        <w:t>没有用户现场录波，没有独立商业录波解析器的差分验证，也没有完整 COMTRADE 标准一致性认证。Windows / macOS 没有实机测试。</w:t>
      </w:r>
    </w:p>
    <w:p>
      <w:r>
        <w:t>受本环境受管浏览器策略限制，浏览器检查通过离线页面和核心测试适配层执行；真实 HTTP 接口另外测试。浏览器直接导航 localhost 与操作系统级下载行为未在此环境验证。没有绕过或修改管理策略。</w:t>
      </w:r>
    </w:p>
    <w:p>
      <w:pPr>
        <w:pStyle w:val="Caption"/>
      </w:pPr>
      <w:r>
        <w:t>证据文件：reports/selftest_results.json、selftest_log.txt、coverage.txt、browser_results.json、release_smoke.json、regression/summary.json。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16 /  FIELD GUIDE</w:t>
      </w:r>
    </w:p>
    <w:p>
      <w:pPr>
        <w:pStyle w:val="Heading1"/>
      </w:pPr>
      <w:r>
        <w:t>规模与性能</w:t>
      </w:r>
    </w:p>
    <w:p>
      <w:pPr>
        <w:spacing w:after="240"/>
      </w:pPr>
      <w:r>
        <w:rPr>
          <w:color w:val="64768B"/>
          <w:sz w:val="22"/>
        </w:rPr>
        <w:t>处理了全部 512 个通道，不等于同时执行了 512 项验收断言。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746"/>
      </w:tblGrid>
      <w:tr>
        <w:trPr>
          <w:tblHeader/>
          <w:cantSplit/>
        </w:trPr>
        <w:tc>
          <w:tcPr>
            <w:tcW w:type="dxa" w:w="3061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测量项目</w:t>
            </w:r>
          </w:p>
        </w:tc>
        <w:tc>
          <w:tcPr>
            <w:tcW w:type="dxa" w:w="6746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本次单次实测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运行环境</w:t>
            </w:r>
          </w:p>
        </w:tc>
        <w:tc>
          <w:tcPr>
            <w:tcW w:type="dxa" w:w="674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Linux / Python 3.13.5；独立新进程。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记录规模</w:t>
            </w:r>
          </w:p>
        </w:tc>
        <w:tc>
          <w:tcPr>
            <w:tcW w:type="dxa" w:w="6746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128 模拟 + 384 数字；20,001 采样点；约 20 s。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总通道值</w:t>
            </w:r>
          </w:p>
        </w:tc>
        <w:tc>
          <w:tcPr>
            <w:tcW w:type="dxa" w:w="674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10,240,512 个；DAT 约 6.24 MB。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完整解析时间</w:t>
            </w:r>
          </w:p>
        </w:tc>
        <w:tc>
          <w:tcPr>
            <w:tcW w:type="dxa" w:w="6746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1.678 s，含读取与工程值转换。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断言执行时间</w:t>
            </w:r>
          </w:p>
        </w:tc>
        <w:tc>
          <w:tcPr>
            <w:tcW w:type="dxa" w:w="674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0.0257 s，仅计六项教学断言。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进程峰值 RSS</w:t>
            </w:r>
          </w:p>
        </w:tc>
        <w:tc>
          <w:tcPr>
            <w:tcW w:type="dxa" w:w="6746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约 128.1 MiB，Linux VmHWM 口径。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断言结论</w:t>
            </w:r>
          </w:p>
        </w:tc>
        <w:tc>
          <w:tcPr>
            <w:tcW w:type="dxa" w:w="6746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20"/>
              </w:rPr>
              <w:t>6 项 PASS。</w:t>
            </w:r>
          </w:p>
        </w:tc>
      </w:tr>
    </w:tbl>
    <w:p>
      <w:pPr>
        <w:keepNext/>
        <w:spacing w:after="40" w:before="0" w:line="40" w:lineRule="exact"/>
      </w:pPr>
    </w:p>
    <w:p>
      <w:r>
        <w:t>这是当前环境的单次测量，不是各类工控机的吞吐保证，也不是长时间压力稳定性证明。完整原始测量和口径见 reports/benchmark.json。</w:t>
      </w:r>
    </w:p>
    <w:p>
      <w:pPr>
        <w:pStyle w:val="Heading2"/>
      </w:pPr>
      <w:r>
        <w:t>本版资源限制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39"/>
      </w:tblGrid>
      <w:tr>
        <w:trPr>
          <w:tblHeader/>
          <w:cantSplit/>
        </w:trPr>
        <w:tc>
          <w:tcPr>
            <w:tcW w:type="dxa" w:w="396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9"/>
              </w:rPr>
              <w:t>入口 / 资源</w:t>
            </w:r>
          </w:p>
        </w:tc>
        <w:tc>
          <w:tcPr>
            <w:tcW w:type="dxa" w:w="5839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9"/>
              </w:rPr>
              <w:t>上限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浏览器上传请求整体</w:t>
            </w:r>
          </w:p>
        </w:tc>
        <w:tc>
          <w:tcPr>
            <w:tcW w:type="dxa" w:w="583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128 MiB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命令行 DAT / CFG</w:t>
            </w:r>
          </w:p>
        </w:tc>
        <w:tc>
          <w:tcPr>
            <w:tcW w:type="dxa" w:w="583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512 MiB / 8 MiB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总通道数</w:t>
            </w:r>
          </w:p>
        </w:tc>
        <w:tc>
          <w:tcPr>
            <w:tcW w:type="dxa" w:w="5839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4096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解码数组预算</w:t>
            </w:r>
          </w:p>
        </w:tc>
        <w:tc>
          <w:tcPr>
            <w:tcW w:type="dxa" w:w="5839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9"/>
              </w:rPr>
              <w:t>默认 512 MiB；不等于整个进程内存硬上限。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大文件的使用方式</w:t>
      </w:r>
    </w:p>
    <w:p>
      <w:r>
        <w:t>优先使用 CLI，按文件分批计算并检查退出码。GUI 单用户串行执行，上传和报告都可能占用额外内存；关闭不用的标签页，保留足够内存余量。</w:t>
      </w:r>
    </w:p>
    <w:p>
      <w:pPr>
        <w:keepLines/>
        <w:spacing w:before="80" w:after="180" w:line="240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python tools/benchmark.py --samples 20001</w:t>
      </w:r>
    </w:p>
    <w:p>
      <w:r>
        <w:t>示例 22 的 512 通道录波为 2,001 点；性能脚本会另行生成 20,001 点记录，不要把二者规模混淆。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17 /  FIELD GUIDE</w:t>
      </w:r>
    </w:p>
    <w:p>
      <w:pPr>
        <w:pStyle w:val="Heading1"/>
      </w:pPr>
      <w:r>
        <w:t>批处理与产线集成</w:t>
      </w:r>
    </w:p>
    <w:p>
      <w:pPr>
        <w:spacing w:after="240"/>
      </w:pPr>
      <w:r>
        <w:rPr>
          <w:color w:val="64768B"/>
          <w:sz w:val="22"/>
        </w:rPr>
        <w:t>同一套 JSON 可以用于 GUI、命令行和 Python 调用。</w:t>
      </w:r>
    </w:p>
    <w:p>
      <w:pPr>
        <w:pStyle w:val="Heading2"/>
      </w:pPr>
      <w:r>
        <w:t>单文件与目录批处理</w:t>
      </w:r>
    </w:p>
    <w:p>
      <w:pPr>
        <w:keepLines/>
        <w:spacing w:before="80" w:after="180" w:line="235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python ESS_WaveTest.pyz inspect examples/01_pass_binary.cfg</w:t>
        <w:br/>
        <w:br/>
        <w:t>python ESS_WaveTest.pyz run \</w:t>
        <w:br/>
        <w:t xml:space="preserve">  --cfg examples/01_pass_binary.cfg \</w:t>
        <w:br/>
        <w:t xml:space="preserve">  --case examples/01_pass_binary.json --out my_results</w:t>
        <w:br/>
        <w:br/>
        <w:t>python ESS_WaveTest.pyz batch --directory recordings \</w:t>
        <w:br/>
        <w:t xml:space="preserve">  --case my_case.json --out batch_results</w:t>
      </w:r>
    </w:p>
    <w:p>
      <w:r>
        <w:t>上例换行符为 shell 写法；Windows 命令行可把每条命令写成一整行。未显式写 --dat 时，程序查找同名 DAT。批处理每份录波独立分析，不自动合并或跨文件同步。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tblHeader/>
          <w:cantSplit/>
        </w:trPr>
        <w:tc>
          <w:tcPr>
            <w:tcW w:type="dxa" w:w="1701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退出码</w:t>
            </w:r>
          </w:p>
        </w:tc>
        <w:tc>
          <w:tcPr>
            <w:tcW w:type="dxa" w:w="8107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0</w:t>
            </w:r>
          </w:p>
        </w:tc>
        <w:tc>
          <w:tcPr>
            <w:tcW w:type="dxa" w:w="810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PASS；但预期清单回归模式表示全部分类符合预期。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1</w:t>
            </w:r>
          </w:p>
        </w:tc>
        <w:tc>
          <w:tcPr>
            <w:tcW w:type="dxa" w:w="810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FAIL；至少一个可靠断言不满足。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2</w:t>
            </w:r>
          </w:p>
        </w:tc>
        <w:tc>
          <w:tcPr>
            <w:tcW w:type="dxa" w:w="810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ERROR；输入、配置或执行错误。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3</w:t>
            </w:r>
          </w:p>
        </w:tc>
        <w:tc>
          <w:tcPr>
            <w:tcW w:type="dxa" w:w="810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INCONCLUSIVE；观察或数据不足，不能放行。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四种结果，不只一个灯</w:t>
      </w:r>
    </w:p>
    <w:p>
      <w:r>
        <w:t>HTML：自包含人读报告及曲线，可离线查看与打印。JSON：完整配置、证据、指标与元数据。CSV：便于汇总统计。JUnit：用于流水线报告，数据不足记为 error。</w:t>
      </w:r>
    </w:p>
    <w:p>
      <w:r>
        <w:t>报告保存 CFG、DAT 和配置 SHA-256、实际映射、窗口、测量值及阈值。原始录波不改写；哈希支持一致性核对，但不是数字签名。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回归模式与验收模式不能混用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全部清单项均带 expected 时，batch --manifest 比较的是“实际结论是否等于预期”。故意制造的超调文件被判 FAIL 才算回归正确；这不代表设备合格。目录批处理则按验收结论汇总。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18 /  FIELD GUIDE</w:t>
      </w:r>
    </w:p>
    <w:p>
      <w:pPr>
        <w:pStyle w:val="Heading1"/>
      </w:pPr>
      <w:r>
        <w:t>部署与常见问题</w:t>
      </w:r>
    </w:p>
    <w:p>
      <w:pPr>
        <w:spacing w:after="240"/>
      </w:pPr>
      <w:r>
        <w:rPr>
          <w:color w:val="64768B"/>
          <w:sz w:val="22"/>
        </w:rPr>
        <w:t>保留原始数据；出错先定位原因，而不是放宽限值。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917"/>
      </w:tblGrid>
      <w:tr>
        <w:trPr>
          <w:tblHeader/>
          <w:cantSplit/>
        </w:trPr>
        <w:tc>
          <w:tcPr>
            <w:tcW w:type="dxa" w:w="2891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917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处理步骤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双击后窗口关闭</w:t>
            </w:r>
          </w:p>
        </w:tc>
        <w:tc>
          <w:tcPr>
            <w:tcW w:type="dxa" w:w="691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在解压目录手动运行 python ESS_WaveTest.pyz gui，阅读报错；核对 Python 版本和当前目录。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端口已占用</w:t>
            </w:r>
          </w:p>
        </w:tc>
        <w:tc>
          <w:tcPr>
            <w:tcW w:type="dxa" w:w="691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更换 --port 8766；不要为了访问方便绑定公网地址。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没有匹配或匹配多条通道</w:t>
            </w:r>
          </w:p>
        </w:tc>
        <w:tc>
          <w:tcPr>
            <w:tcW w:type="dxa" w:w="691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在通道浏览区核对类型、精确名称、编号与单位；缩小通配符范围。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提示单位不匹配</w:t>
            </w:r>
          </w:p>
        </w:tc>
        <w:tc>
          <w:tcPr>
            <w:tcW w:type="dxa" w:w="691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确认 CFG 原单位；需要换算时显式写 scale 和 output_unit，再审核限值单位。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窗口超出录波范围</w:t>
            </w:r>
          </w:p>
        </w:tc>
        <w:tc>
          <w:tcPr>
            <w:tcW w:type="dxa" w:w="691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延长录波前后留量，或按真实试验设计重写窗口；不要自动裁剪后放行。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脉冲一直数据不足</w:t>
            </w:r>
          </w:p>
        </w:tc>
        <w:tc>
          <w:tcPr>
            <w:tcW w:type="dxa" w:w="691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确保观察到完整两沿；检查 active、触发、窗口边界与去抖观察时长。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应有响应但阈值时间未知</w:t>
            </w:r>
          </w:p>
        </w:tc>
        <w:tc>
          <w:tcPr>
            <w:tcW w:type="dxa" w:w="6917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检查是否在触发前已动作、目标幅值是否为零，以及观察时长是否足够。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文件不支持或内存不足</w:t>
            </w:r>
          </w:p>
        </w:tc>
        <w:tc>
          <w:tcPr>
            <w:tcW w:type="dxa" w:w="6917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确认是受支持 CFG/DAT；大记录改用 CLI 分批。CFF 和厂家私有扩展不直接支持。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本机服务安全</w:t>
      </w:r>
    </w:p>
    <w:p>
      <w:r>
        <w:t>服务只绑定 127.0.0.1，检查 Host、Origin 与随机会话令牌；没有公网账户系统，不应放到反向代理或局域网共享服务后面。上传保存在临时目录，正常退出会清理。异常崩溃后的临时残留应按厂内数据制度处理。</w:t>
      </w:r>
    </w:p>
    <w:p>
      <w:r>
        <w:t>报告会转义不可信文本，CSV 对潜在公式文本做防护；但导出文件本身仍可能包含设备名称、信号名等敏感信息，应按项目权限归档。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测试与现场安全分离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软件不控制设备、不操作保护定值，不建立带电试验安全条件。实际通电、并网及故障注入必须遵守既有试验台联锁和现场作业制度。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19 /  FIELD GUIDE</w:t>
      </w:r>
    </w:p>
    <w:p>
      <w:pPr>
        <w:pStyle w:val="Heading1"/>
      </w:pPr>
      <w:r>
        <w:t>扩展与正式上线</w:t>
      </w:r>
    </w:p>
    <w:p>
      <w:pPr>
        <w:spacing w:after="240"/>
      </w:pPr>
      <w:r>
        <w:rPr>
          <w:color w:val="64768B"/>
          <w:sz w:val="22"/>
        </w:rPr>
        <w:t>先冻结一套可信的判定基线，再把更多工况加入回归库。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tblHeader/>
          <w:cantSplit/>
        </w:trPr>
        <w:tc>
          <w:tcPr>
            <w:tcW w:type="dxa" w:w="2835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73"/>
            <w:vAlign w:val="center"/>
            <w:shd w:fill="142D46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comtrade.py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严格解析、时间轴、缩放、质量检查。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engine.py</w:t>
            </w:r>
          </w:p>
        </w:tc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配置校验、业务通道映射、触发、六类断言与证据。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report.py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HTML / JSON / CSV / JUnit 导出。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server.py + static/</w:t>
            </w:r>
          </w:p>
        </w:tc>
        <w:tc>
          <w:tcPr>
            <w:tcW w:type="dxa" w:w="6973"/>
            <w:vAlign w:val="center"/>
            <w:shd w:fill="FFFFFF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本机 HTTP 服务与中文界面。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generate.py / tests/</w:t>
            </w:r>
          </w:p>
        </w:tc>
        <w:tc>
          <w:tcPr>
            <w:tcW w:type="dxa" w:w="6973"/>
            <w:vAlign w:val="center"/>
            <w:shd w:fill="F1F6F8"/>
            <w:tcMar>
              <w:top w:w="82" w:type="dxa"/>
              <w:left w:w="100" w:type="dxa"/>
              <w:bottom w:w="82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rFonts w:ascii="Noto Sans CJK SC" w:hAnsi="Noto Sans CJK SC"/>
                <w:b w:val="0"/>
                <w:color w:val="253A50"/>
                <w:sz w:val="18"/>
              </w:rPr>
              <w:t>教学录波和可复现的边界、随机、解析公式测试。</w:t>
            </w:r>
          </w:p>
        </w:tc>
      </w:tr>
    </w:tbl>
    <w:p>
      <w:pPr>
        <w:keepNext/>
        <w:spacing w:after="40" w:before="0" w:line="40" w:lineRule="exact"/>
      </w:pPr>
    </w:p>
    <w:p>
      <w:pPr>
        <w:pStyle w:val="Heading2"/>
      </w:pPr>
      <w:r>
        <w:t>Python 接口</w:t>
      </w:r>
    </w:p>
    <w:p>
      <w:pPr>
        <w:keepLines/>
        <w:spacing w:before="80" w:after="180" w:line="243" w:lineRule="exact"/>
        <w:ind w:left="125" w:right="85"/>
        <w:shd w:fill="F0F4F7"/>
      </w:pPr>
      <w:r>
        <w:rPr>
          <w:rFonts w:ascii="Noto Sans Mono CJK SC" w:hAnsi="Noto Sans Mono CJK SC" w:eastAsia="Noto Sans Mono CJK SC"/>
          <w:color w:val="142D46"/>
          <w:sz w:val="17"/>
        </w:rPr>
        <w:t>import json</w:t>
        <w:br/>
        <w:t>from esswave.comtrade import load</w:t>
        <w:br/>
        <w:t>from esswave.engine import run</w:t>
        <w:br/>
        <w:t>from esswave.report import export</w:t>
        <w:br/>
        <w:br/>
        <w:t>record = load("sample.cfg", "sample.dat")</w:t>
        <w:br/>
        <w:t>with open("case.json", encoding="utf-8-sig") as f:</w:t>
        <w:br/>
        <w:t xml:space="preserve">    result = run(record, json.load(f))</w:t>
        <w:br/>
        <w:t>export(result, "results")</w:t>
      </w:r>
    </w:p>
    <w:p>
      <w:r>
        <w:t>新增断言时，同步修改允许字段、配置校验、计算分支和测试；不要把任意 Python 表达式引入 JSON。修改后先运行 run_selftests.py，再用 tools/build_zipapp.py 重建单文件应用。</w:t>
      </w:r>
    </w:p>
    <w:p>
      <w:pPr>
        <w:pStyle w:val="Heading2"/>
      </w:pPr>
      <w:r>
        <w:t>建议的现场验收闸口</w:t>
      </w:r>
    </w:p>
    <w:p>
      <w:r>
        <w:t>第一步：从真实厂家录波中整理人工标注的通过、失败、边界与坏数据样本。第二步：由测试负责人对齐通道表、算法口径与实际标准条款。第三步：在目标 Windows / 工控机上实测导入、报告与批处理。第四步：复核误报和漏报后冻结软件哈希、用例版本与审批记录。</w:t>
      </w:r>
    </w:p>
    <w:p>
      <w:r>
        <w:t>这四步是建议的后续验收，不是已经完成的现场验证。厂家的私有格式、复杂交流分析或通信一致性检查，需要新增受审查的适配器或算法模块。</w:t>
      </w:r>
    </w:p>
    <w:p>
      <w:r>
        <w:br w:type="page"/>
      </w:r>
    </w:p>
    <w:p>
      <w:pPr>
        <w:spacing w:after="20"/>
      </w:pPr>
      <w:r>
        <w:rPr>
          <w:b/>
          <w:color w:val="087D76"/>
          <w:sz w:val="17"/>
        </w:rPr>
        <w:t>20 /  FIELD GUIDE</w:t>
      </w:r>
    </w:p>
    <w:p>
      <w:pPr>
        <w:pStyle w:val="Heading1"/>
      </w:pPr>
      <w:r>
        <w:t>标准来源与交付边界</w:t>
      </w:r>
    </w:p>
    <w:p>
      <w:pPr>
        <w:spacing w:after="240"/>
      </w:pPr>
      <w:r>
        <w:rPr>
          <w:color w:val="64768B"/>
          <w:sz w:val="22"/>
        </w:rPr>
        <w:t>官方目录用于核查版次与对象；具体阈值仍以合法标准正文和项目审核为准。</w:t>
      </w:r>
    </w:p>
    <w:p>
      <w:pPr>
        <w:spacing w:after="60"/>
      </w:pPr>
      <w:hyperlink r:id="rId15">
        <w:r>
          <w:rPr>
            <w:color w:val="087D76"/>
            <w:u w:val="single"/>
          </w:rPr>
          <w:t>[1] IEC 61850 官方概览</w:t>
        </w:r>
      </w:hyperlink>
    </w:p>
    <w:p>
      <w:pPr>
        <w:spacing w:after="180"/>
      </w:pPr>
      <w:r>
        <w:rPr>
          <w:color w:val="64768B"/>
          <w:sz w:val="19"/>
        </w:rPr>
        <w:t>数据模型、SCL、通信服务与互操作。</w:t>
      </w:r>
    </w:p>
    <w:p>
      <w:pPr>
        <w:spacing w:after="60"/>
      </w:pPr>
      <w:hyperlink r:id="rId16">
        <w:r>
          <w:rPr>
            <w:color w:val="087D76"/>
            <w:u w:val="single"/>
          </w:rPr>
          <w:t>[2] IEC 60255-24:2013</w:t>
        </w:r>
      </w:hyperlink>
    </w:p>
    <w:p>
      <w:pPr>
        <w:spacing w:after="180"/>
      </w:pPr>
      <w:r>
        <w:rPr>
          <w:color w:val="64768B"/>
          <w:sz w:val="19"/>
        </w:rPr>
        <w:t>电力系统 COMTRADE 暂态数据交换格式。</w:t>
      </w:r>
    </w:p>
    <w:p>
      <w:pPr>
        <w:spacing w:after="60"/>
      </w:pPr>
      <w:hyperlink r:id="rId17">
        <w:r>
          <w:rPr>
            <w:color w:val="087D76"/>
            <w:u w:val="single"/>
          </w:rPr>
          <w:t>[3] GB/T 34120-2023</w:t>
        </w:r>
      </w:hyperlink>
    </w:p>
    <w:p>
      <w:pPr>
        <w:spacing w:after="180"/>
      </w:pPr>
      <w:r>
        <w:rPr>
          <w:color w:val="64768B"/>
          <w:sz w:val="19"/>
        </w:rPr>
        <w:t>电化学储能系统储能变流器技术要求；2024-07-01 实施。</w:t>
      </w:r>
    </w:p>
    <w:p>
      <w:pPr>
        <w:spacing w:after="60"/>
      </w:pPr>
      <w:hyperlink r:id="rId18">
        <w:r>
          <w:rPr>
            <w:color w:val="087D76"/>
            <w:u w:val="single"/>
          </w:rPr>
          <w:t>[4] GB/T 34133-2023</w:t>
        </w:r>
      </w:hyperlink>
    </w:p>
    <w:p>
      <w:pPr>
        <w:spacing w:after="180"/>
      </w:pPr>
      <w:r>
        <w:rPr>
          <w:color w:val="64768B"/>
          <w:sz w:val="19"/>
        </w:rPr>
        <w:t>储能变流器检测技术规程；2024-07-01 实施。</w:t>
      </w:r>
    </w:p>
    <w:p>
      <w:pPr>
        <w:spacing w:after="60"/>
      </w:pPr>
      <w:hyperlink r:id="rId19">
        <w:r>
          <w:rPr>
            <w:color w:val="087D76"/>
            <w:u w:val="single"/>
          </w:rPr>
          <w:t>[5] GB/T 36547-2024</w:t>
        </w:r>
      </w:hyperlink>
    </w:p>
    <w:p>
      <w:pPr>
        <w:spacing w:after="180"/>
      </w:pPr>
      <w:r>
        <w:rPr>
          <w:color w:val="64768B"/>
          <w:sz w:val="19"/>
        </w:rPr>
        <w:t>电化学储能电站接入电网技术规定；2024-12-01 实施。</w:t>
      </w:r>
    </w:p>
    <w:p>
      <w:pPr>
        <w:spacing w:after="60"/>
      </w:pPr>
      <w:hyperlink r:id="rId20">
        <w:r>
          <w:rPr>
            <w:color w:val="087D76"/>
            <w:u w:val="single"/>
          </w:rPr>
          <w:t>[6] GB/T 36548-2024</w:t>
        </w:r>
      </w:hyperlink>
    </w:p>
    <w:p>
      <w:pPr>
        <w:spacing w:after="180"/>
      </w:pPr>
      <w:r>
        <w:rPr>
          <w:color w:val="64768B"/>
          <w:sz w:val="19"/>
        </w:rPr>
        <w:t>电化学储能电站接入电网测试规程；2025-01-01 实施。</w:t>
      </w:r>
    </w:p>
    <w:p>
      <w:pPr>
        <w:pStyle w:val="Caption"/>
      </w:pPr>
      <w:r>
        <w:t>检索日期：2026-10-11。条目可点击进入 IEC 或国家标准全文公开系统的官方页面。</w:t>
      </w:r>
    </w:p>
    <w:p>
      <w:pPr>
        <w:pStyle w:val="Heading2"/>
      </w:pPr>
      <w:r>
        <w:t>本版不包含</w:t>
      </w:r>
    </w:p>
    <w:p>
      <w:r>
        <w:t>CFF、厂家私有格式完整兼容；GOOSE/SV 报文与 SCL 验证；谐波、频率、序分量与三相功率重建；跨录波同步；在线采集与设备控制；多人权限、电子签章与一键并网认证。</w:t>
      </w:r>
    </w:p>
    <w:p>
      <w:r>
        <w:t>也不自动校验 ADC 饱和、CT/PT 接线错误、厂家元数据真实性、采样前滤波延迟和绝对时钟精度。解析成功不等于测量链路正确。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EF5F7"/>
          </w:tcPr>
          <w:p>
            <w:pPr>
              <w:spacing w:before="140" w:after="80"/>
            </w:pPr>
            <w:r>
              <w:rPr>
                <w:b/>
                <w:color w:val="087D76"/>
                <w:sz w:val="20"/>
              </w:rPr>
              <w:t>可复核，比只显示“通过”更重要</w:t>
            </w:r>
          </w:p>
          <w:p>
            <w:pPr>
              <w:spacing w:after="140" w:line="288" w:lineRule="auto"/>
            </w:pPr>
            <w:r>
              <w:rPr>
                <w:sz w:val="18"/>
              </w:rPr>
              <w:t>把原始录波、用例、软件版本和测量证据一起归档。对不充分的证据给出明确的“不确定”，比无依据地宣布合格更有价值。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68B"/>
        <w:sz w:val="16"/>
      </w:rPr>
      <w:t xml:space="preserve">v1.0.0  ·  工程验证版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7" w:color="D8E3EB"/>
      </w:pBdr>
    </w:pPr>
    <w:r>
      <w:rPr>
        <w:rFonts w:ascii="Noto Sans CJK SC" w:hAnsi="Noto Sans CJK SC"/>
        <w:b/>
        <w:color w:val="087D76"/>
        <w:sz w:val="16"/>
      </w:rPr>
      <w:t>ESS WAVETEST  /  ENGINEERING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color w:val="253A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Noto Sans CJK SC" w:hAnsi="Noto Sans CJK SC" w:eastAsia="Noto Sans CJK SC"/>
      <w:b/>
      <w:bCs/>
      <w:color w:val="142D4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Noto Sans CJK SC" w:hAnsi="Noto Sans CJK SC" w:eastAsia="Noto Sans CJK SC"/>
      <w:b/>
      <w:bCs/>
      <w:color w:val="087D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Noto Sans CJK SC" w:hAnsi="Noto Sans CJK SC" w:eastAsia="Noto Sans CJK SC"/>
      <w:b/>
      <w:bCs/>
      <w:color w:val="142D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/>
      <w:color w:val="253A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/>
      <w:i/>
      <w:iCs/>
      <w:color w:val="253A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Noto Sans CJK SC" w:hAnsi="Noto Sans CJK SC" w:eastAsia="Noto Sans CJK SC"/>
      <w:b/>
      <w:bCs/>
      <w:color w:val="64768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iec61850.dvl.iec.ch/" TargetMode="External"/><Relationship Id="rId16" Type="http://schemas.openxmlformats.org/officeDocument/2006/relationships/hyperlink" Target="https://webstore.iec.ch/en/publication/1170" TargetMode="External"/><Relationship Id="rId17" Type="http://schemas.openxmlformats.org/officeDocument/2006/relationships/hyperlink" Target="https://openstd.samr.gov.cn/bzgk/std/newGbInfo?hcno=DF57B7AAD74997D07BF9688FCEBFA4B0" TargetMode="External"/><Relationship Id="rId18" Type="http://schemas.openxmlformats.org/officeDocument/2006/relationships/hyperlink" Target="https://openstd.samr.gov.cn/bzgk/std/newGbInfo?hcno=78A745A207EC43C112F127361889FA50" TargetMode="External"/><Relationship Id="rId19" Type="http://schemas.openxmlformats.org/officeDocument/2006/relationships/hyperlink" Target="https://openstd.samr.gov.cn/bzgk/std/newGbInfo?hcno=CB74C96A65064FE060BBB544E57BAE1C" TargetMode="External"/><Relationship Id="rId20" Type="http://schemas.openxmlformats.org/officeDocument/2006/relationships/hyperlink" Target="https://openstd.samr.gov.cn/bzgk/std/newGbInfo?hcno=0FC240DC084302CB4359F79CB1E4AB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 WaveTest 使用说明与案例分析</dc:title>
  <dc:subject>储能系统厂内 COMTRADE 录波自动验收</dc:subject>
  <dc:creator>ESS WaveTest</dc:creator>
  <cp:keywords>COMTRADE,储能,自动化测试,工程验证版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