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365" w:rsidRPr="00E93365" w:rsidRDefault="00E93365" w:rsidP="00E93365">
      <w:pPr>
        <w:spacing w:after="0" w:line="240" w:lineRule="auto"/>
        <w:rPr>
          <w:rFonts w:ascii="Arial" w:hAnsi="Arial" w:cs="Arial"/>
        </w:rPr>
      </w:pPr>
      <w:r w:rsidRPr="00E93365">
        <w:rPr>
          <w:rFonts w:ascii="Arial" w:hAnsi="Arial" w:cs="Arial"/>
        </w:rPr>
        <w:t xml:space="preserve">The below table is a list of acquisition methods and their description.  For additional information including dollar thresholds please refer to SCM vol. 2 and 3 found at: </w:t>
      </w:r>
      <w:hyperlink r:id="rId8" w:history="1">
        <w:r w:rsidRPr="00E93365">
          <w:rPr>
            <w:rStyle w:val="Hyperlink"/>
            <w:rFonts w:ascii="Arial" w:hAnsi="Arial" w:cs="Arial"/>
          </w:rPr>
          <w:t>http://www.dgs.ca.gov/pd/Resources/publications/SCM2.aspx</w:t>
        </w:r>
      </w:hyperlink>
    </w:p>
    <w:p w:rsidR="00B55CAF" w:rsidRPr="00E93365" w:rsidRDefault="006949A2" w:rsidP="00E93365">
      <w:pPr>
        <w:spacing w:after="0" w:line="240" w:lineRule="auto"/>
        <w:rPr>
          <w:rFonts w:ascii="Arial" w:hAnsi="Arial" w:cs="Arial"/>
        </w:rPr>
      </w:pPr>
      <w:hyperlink r:id="rId9" w:history="1">
        <w:r w:rsidR="00E93365" w:rsidRPr="00E93365">
          <w:rPr>
            <w:rStyle w:val="Hyperlink"/>
            <w:rFonts w:ascii="Arial" w:hAnsi="Arial" w:cs="Arial"/>
          </w:rPr>
          <w:t>http://www.dgs.ca.gov/pd/Resources/publications/SCM3.aspx</w:t>
        </w:r>
      </w:hyperlink>
    </w:p>
    <w:p w:rsidR="00E93365" w:rsidRDefault="00E93365" w:rsidP="00E93365">
      <w:pPr>
        <w:spacing w:after="0" w:line="240" w:lineRule="auto"/>
      </w:pPr>
    </w:p>
    <w:tbl>
      <w:tblPr>
        <w:tblStyle w:val="TableGrid"/>
        <w:tblW w:w="0" w:type="auto"/>
        <w:tblLayout w:type="fixed"/>
        <w:tblLook w:val="04A0" w:firstRow="1" w:lastRow="0" w:firstColumn="1" w:lastColumn="0" w:noHBand="0" w:noVBand="1"/>
      </w:tblPr>
      <w:tblGrid>
        <w:gridCol w:w="1982"/>
        <w:gridCol w:w="1906"/>
        <w:gridCol w:w="5688"/>
      </w:tblGrid>
      <w:tr w:rsidR="00085686" w:rsidRPr="00E93365" w:rsidTr="00E93365">
        <w:tc>
          <w:tcPr>
            <w:tcW w:w="1982" w:type="dxa"/>
            <w:shd w:val="clear" w:color="auto" w:fill="FDE9D9" w:themeFill="accent6" w:themeFillTint="33"/>
          </w:tcPr>
          <w:p w:rsidR="00085686" w:rsidRPr="00E93365" w:rsidRDefault="00085686" w:rsidP="00416601">
            <w:pPr>
              <w:jc w:val="center"/>
              <w:rPr>
                <w:rFonts w:ascii="Arial" w:hAnsi="Arial" w:cs="Arial"/>
                <w:b/>
              </w:rPr>
            </w:pPr>
            <w:r w:rsidRPr="00E93365">
              <w:rPr>
                <w:rFonts w:ascii="Arial" w:hAnsi="Arial" w:cs="Arial"/>
                <w:b/>
              </w:rPr>
              <w:t>Acquisition Method</w:t>
            </w:r>
          </w:p>
        </w:tc>
        <w:tc>
          <w:tcPr>
            <w:tcW w:w="1906" w:type="dxa"/>
            <w:shd w:val="clear" w:color="auto" w:fill="FDE9D9" w:themeFill="accent6" w:themeFillTint="33"/>
          </w:tcPr>
          <w:p w:rsidR="00085686" w:rsidRPr="00E93365" w:rsidRDefault="00085686" w:rsidP="00416601">
            <w:pPr>
              <w:jc w:val="center"/>
              <w:rPr>
                <w:rFonts w:ascii="Arial" w:hAnsi="Arial" w:cs="Arial"/>
                <w:b/>
              </w:rPr>
            </w:pPr>
            <w:r w:rsidRPr="00E93365">
              <w:rPr>
                <w:rFonts w:ascii="Arial" w:hAnsi="Arial" w:cs="Arial"/>
                <w:b/>
              </w:rPr>
              <w:t>Abbreviation</w:t>
            </w:r>
          </w:p>
        </w:tc>
        <w:tc>
          <w:tcPr>
            <w:tcW w:w="5688" w:type="dxa"/>
            <w:shd w:val="clear" w:color="auto" w:fill="FDE9D9" w:themeFill="accent6" w:themeFillTint="33"/>
          </w:tcPr>
          <w:p w:rsidR="00085686" w:rsidRPr="00E93365" w:rsidRDefault="00416601" w:rsidP="00416601">
            <w:pPr>
              <w:jc w:val="center"/>
              <w:rPr>
                <w:rFonts w:ascii="Arial" w:hAnsi="Arial" w:cs="Arial"/>
                <w:b/>
              </w:rPr>
            </w:pPr>
            <w:r w:rsidRPr="00E93365">
              <w:rPr>
                <w:rFonts w:ascii="Arial" w:hAnsi="Arial" w:cs="Arial"/>
                <w:b/>
              </w:rPr>
              <w:t>Description</w:t>
            </w:r>
          </w:p>
        </w:tc>
      </w:tr>
      <w:tr w:rsidR="00B55CAF" w:rsidRPr="00E93365" w:rsidTr="00E93365">
        <w:tc>
          <w:tcPr>
            <w:tcW w:w="1982" w:type="dxa"/>
          </w:tcPr>
          <w:p w:rsidR="00B55CAF" w:rsidRPr="00E93365" w:rsidRDefault="00380821" w:rsidP="00B55CAF">
            <w:pPr>
              <w:rPr>
                <w:rFonts w:ascii="Arial" w:hAnsi="Arial" w:cs="Arial"/>
              </w:rPr>
            </w:pPr>
            <w:r w:rsidRPr="00E93365">
              <w:rPr>
                <w:rFonts w:ascii="Arial" w:hAnsi="Arial" w:cs="Arial"/>
              </w:rPr>
              <w:t>California Multiple Awards Schedule</w:t>
            </w:r>
          </w:p>
        </w:tc>
        <w:tc>
          <w:tcPr>
            <w:tcW w:w="1906" w:type="dxa"/>
          </w:tcPr>
          <w:p w:rsidR="00B55CAF" w:rsidRPr="00E93365" w:rsidRDefault="00380821" w:rsidP="00380821">
            <w:pPr>
              <w:rPr>
                <w:rFonts w:ascii="Arial" w:hAnsi="Arial" w:cs="Arial"/>
              </w:rPr>
            </w:pPr>
            <w:r w:rsidRPr="00E93365">
              <w:rPr>
                <w:rFonts w:ascii="Arial" w:hAnsi="Arial" w:cs="Arial"/>
              </w:rPr>
              <w:t>CMAS</w:t>
            </w:r>
          </w:p>
        </w:tc>
        <w:tc>
          <w:tcPr>
            <w:tcW w:w="5688" w:type="dxa"/>
          </w:tcPr>
          <w:p w:rsidR="00F71350" w:rsidRPr="00E93365" w:rsidRDefault="00F71350" w:rsidP="00E93365">
            <w:pPr>
              <w:rPr>
                <w:rFonts w:ascii="Arial" w:hAnsi="Arial" w:cs="Arial"/>
              </w:rPr>
            </w:pPr>
            <w:r w:rsidRPr="00E93365">
              <w:rPr>
                <w:rFonts w:ascii="Arial" w:hAnsi="Arial" w:cs="Arial"/>
              </w:rPr>
              <w:t xml:space="preserve">The CMAS program offers primarily Federal GSA multiple award </w:t>
            </w:r>
            <w:proofErr w:type="gramStart"/>
            <w:r w:rsidRPr="00E93365">
              <w:rPr>
                <w:rFonts w:ascii="Arial" w:hAnsi="Arial" w:cs="Arial"/>
              </w:rPr>
              <w:t>schedule</w:t>
            </w:r>
            <w:proofErr w:type="gramEnd"/>
            <w:r w:rsidRPr="00E93365">
              <w:rPr>
                <w:rFonts w:ascii="Arial" w:hAnsi="Arial" w:cs="Arial"/>
              </w:rPr>
              <w:t xml:space="preserve"> pricing with California terms and conditions with suppliers that provide </w:t>
            </w:r>
            <w:proofErr w:type="spellStart"/>
            <w:r w:rsidRPr="00E93365">
              <w:rPr>
                <w:rFonts w:ascii="Arial" w:hAnsi="Arial" w:cs="Arial"/>
              </w:rPr>
              <w:t>nonIT</w:t>
            </w:r>
            <w:proofErr w:type="spellEnd"/>
            <w:r w:rsidRPr="00E93365">
              <w:rPr>
                <w:rFonts w:ascii="Arial" w:hAnsi="Arial" w:cs="Arial"/>
              </w:rPr>
              <w:t xml:space="preserve"> goods and services, and IT goods and services.</w:t>
            </w:r>
          </w:p>
        </w:tc>
      </w:tr>
      <w:tr w:rsidR="00B55CAF" w:rsidRPr="00E93365" w:rsidTr="00E93365">
        <w:tc>
          <w:tcPr>
            <w:tcW w:w="1982" w:type="dxa"/>
          </w:tcPr>
          <w:p w:rsidR="00B55CAF" w:rsidRPr="00E93365" w:rsidRDefault="00380821" w:rsidP="00380821">
            <w:pPr>
              <w:rPr>
                <w:rFonts w:ascii="Arial" w:hAnsi="Arial" w:cs="Arial"/>
              </w:rPr>
            </w:pPr>
            <w:r w:rsidRPr="00E93365">
              <w:rPr>
                <w:rFonts w:ascii="Arial" w:hAnsi="Arial" w:cs="Arial"/>
              </w:rPr>
              <w:t>Community-based Rehabilitation Program</w:t>
            </w:r>
          </w:p>
        </w:tc>
        <w:tc>
          <w:tcPr>
            <w:tcW w:w="1906" w:type="dxa"/>
          </w:tcPr>
          <w:p w:rsidR="00380821" w:rsidRPr="00E93365" w:rsidRDefault="00380821" w:rsidP="00380821">
            <w:pPr>
              <w:rPr>
                <w:rFonts w:ascii="Arial" w:hAnsi="Arial" w:cs="Arial"/>
              </w:rPr>
            </w:pPr>
            <w:r w:rsidRPr="00E93365">
              <w:rPr>
                <w:rFonts w:ascii="Arial" w:hAnsi="Arial" w:cs="Arial"/>
              </w:rPr>
              <w:t>CRP</w:t>
            </w:r>
          </w:p>
          <w:p w:rsidR="00B55CAF" w:rsidRPr="00E93365" w:rsidRDefault="00B55CAF" w:rsidP="00B55CAF">
            <w:pPr>
              <w:rPr>
                <w:rFonts w:ascii="Arial" w:hAnsi="Arial" w:cs="Arial"/>
              </w:rPr>
            </w:pPr>
          </w:p>
        </w:tc>
        <w:tc>
          <w:tcPr>
            <w:tcW w:w="5688" w:type="dxa"/>
          </w:tcPr>
          <w:p w:rsidR="002C2286" w:rsidRPr="00E93365" w:rsidRDefault="00447C32" w:rsidP="00380821">
            <w:pPr>
              <w:rPr>
                <w:rFonts w:ascii="Arial" w:hAnsi="Arial" w:cs="Arial"/>
              </w:rPr>
            </w:pPr>
            <w:r w:rsidRPr="00E93365">
              <w:rPr>
                <w:rFonts w:ascii="Arial" w:hAnsi="Arial" w:cs="Arial"/>
              </w:rPr>
              <w:t xml:space="preserve">In accordance with WIC 19404, </w:t>
            </w:r>
            <w:r w:rsidR="002C2286" w:rsidRPr="00E93365">
              <w:rPr>
                <w:rFonts w:ascii="Arial" w:hAnsi="Arial" w:cs="Arial"/>
              </w:rPr>
              <w:t>exempt from competition by law;</w:t>
            </w:r>
            <w:r w:rsidR="00E93365">
              <w:rPr>
                <w:rFonts w:ascii="Arial" w:hAnsi="Arial" w:cs="Arial"/>
              </w:rPr>
              <w:t xml:space="preserve"> under control agency oversight.</w:t>
            </w:r>
          </w:p>
        </w:tc>
      </w:tr>
      <w:tr w:rsidR="00B55CAF" w:rsidRPr="00E93365" w:rsidTr="00E93365">
        <w:trPr>
          <w:trHeight w:val="557"/>
        </w:trPr>
        <w:tc>
          <w:tcPr>
            <w:tcW w:w="1982" w:type="dxa"/>
          </w:tcPr>
          <w:p w:rsidR="00B55CAF" w:rsidRPr="00E93365" w:rsidRDefault="00B55CAF" w:rsidP="00B55CAF">
            <w:pPr>
              <w:rPr>
                <w:rFonts w:ascii="Arial" w:hAnsi="Arial" w:cs="Arial"/>
              </w:rPr>
            </w:pPr>
            <w:r w:rsidRPr="00E93365">
              <w:rPr>
                <w:rFonts w:ascii="Arial" w:hAnsi="Arial" w:cs="Arial"/>
              </w:rPr>
              <w:t>Emergency Purchase</w:t>
            </w:r>
          </w:p>
          <w:p w:rsidR="00B55CAF" w:rsidRPr="00E93365" w:rsidRDefault="00B55CAF" w:rsidP="00B55CAF">
            <w:pPr>
              <w:rPr>
                <w:rFonts w:ascii="Arial" w:hAnsi="Arial" w:cs="Arial"/>
              </w:rPr>
            </w:pPr>
          </w:p>
        </w:tc>
        <w:tc>
          <w:tcPr>
            <w:tcW w:w="1906" w:type="dxa"/>
          </w:tcPr>
          <w:p w:rsidR="00B55CAF" w:rsidRPr="00E93365" w:rsidRDefault="00B55CAF" w:rsidP="00B55CAF">
            <w:pPr>
              <w:rPr>
                <w:rFonts w:ascii="Arial" w:hAnsi="Arial" w:cs="Arial"/>
              </w:rPr>
            </w:pPr>
          </w:p>
        </w:tc>
        <w:tc>
          <w:tcPr>
            <w:tcW w:w="5688" w:type="dxa"/>
          </w:tcPr>
          <w:p w:rsidR="00380821" w:rsidRPr="00E93365" w:rsidRDefault="002C2286" w:rsidP="00E93365">
            <w:pPr>
              <w:rPr>
                <w:rFonts w:ascii="Arial" w:hAnsi="Arial" w:cs="Arial"/>
              </w:rPr>
            </w:pPr>
            <w:r w:rsidRPr="00E93365">
              <w:rPr>
                <w:rFonts w:ascii="Arial" w:hAnsi="Arial" w:cs="Arial"/>
              </w:rPr>
              <w:t>Exempt from competition by law; under control agency oversight.</w:t>
            </w:r>
            <w:r w:rsidR="00E93365">
              <w:rPr>
                <w:rFonts w:ascii="Arial" w:hAnsi="Arial" w:cs="Arial"/>
              </w:rPr>
              <w:t xml:space="preserve">   </w:t>
            </w:r>
          </w:p>
        </w:tc>
      </w:tr>
      <w:tr w:rsidR="00B55CAF" w:rsidRPr="00E93365" w:rsidTr="00E93365">
        <w:tc>
          <w:tcPr>
            <w:tcW w:w="1982" w:type="dxa"/>
          </w:tcPr>
          <w:p w:rsidR="00B55CAF" w:rsidRPr="00E93365" w:rsidRDefault="00B55CAF" w:rsidP="00B55CAF">
            <w:pPr>
              <w:rPr>
                <w:rFonts w:ascii="Arial" w:hAnsi="Arial" w:cs="Arial"/>
              </w:rPr>
            </w:pPr>
            <w:r w:rsidRPr="00E93365">
              <w:rPr>
                <w:rFonts w:ascii="Arial" w:hAnsi="Arial" w:cs="Arial"/>
              </w:rPr>
              <w:t>Fair and Reasonable</w:t>
            </w:r>
          </w:p>
          <w:p w:rsidR="00B55CAF" w:rsidRPr="00E93365" w:rsidRDefault="00B55CAF" w:rsidP="00B55CAF">
            <w:pPr>
              <w:rPr>
                <w:rFonts w:ascii="Arial" w:hAnsi="Arial" w:cs="Arial"/>
              </w:rPr>
            </w:pPr>
          </w:p>
        </w:tc>
        <w:tc>
          <w:tcPr>
            <w:tcW w:w="1906" w:type="dxa"/>
          </w:tcPr>
          <w:p w:rsidR="00B55CAF" w:rsidRPr="00E93365" w:rsidRDefault="00B55CAF" w:rsidP="00B55CAF">
            <w:pPr>
              <w:rPr>
                <w:rFonts w:ascii="Arial" w:hAnsi="Arial" w:cs="Arial"/>
              </w:rPr>
            </w:pPr>
          </w:p>
        </w:tc>
        <w:tc>
          <w:tcPr>
            <w:tcW w:w="5688" w:type="dxa"/>
          </w:tcPr>
          <w:p w:rsidR="00B55CAF" w:rsidRPr="00E93365" w:rsidRDefault="00380821" w:rsidP="00B55CAF">
            <w:pPr>
              <w:rPr>
                <w:rFonts w:ascii="Arial" w:hAnsi="Arial" w:cs="Arial"/>
              </w:rPr>
            </w:pPr>
            <w:r w:rsidRPr="00E93365">
              <w:rPr>
                <w:rFonts w:ascii="Arial" w:hAnsi="Arial" w:cs="Arial"/>
              </w:rPr>
              <w:t>In accordance with GC section 14838.5(c) if the estimated value of a transaction is under $5,000.00, buyers shall obtain at least two price quotations from responsible suppliers whenever there is reason to believe a response from a single source is not a fair and reasonable price.</w:t>
            </w:r>
          </w:p>
        </w:tc>
      </w:tr>
      <w:tr w:rsidR="00B55CAF" w:rsidRPr="00E93365" w:rsidTr="00E93365">
        <w:tc>
          <w:tcPr>
            <w:tcW w:w="1982" w:type="dxa"/>
          </w:tcPr>
          <w:p w:rsidR="00B55CAF" w:rsidRPr="00E93365" w:rsidRDefault="00B55CAF" w:rsidP="00B55CAF">
            <w:pPr>
              <w:rPr>
                <w:rFonts w:ascii="Arial" w:hAnsi="Arial" w:cs="Arial"/>
              </w:rPr>
            </w:pPr>
            <w:r w:rsidRPr="00E93365">
              <w:rPr>
                <w:rFonts w:ascii="Arial" w:hAnsi="Arial" w:cs="Arial"/>
              </w:rPr>
              <w:t>Formal Competitive</w:t>
            </w:r>
          </w:p>
          <w:p w:rsidR="00B55CAF" w:rsidRPr="00E93365" w:rsidRDefault="00B55CAF" w:rsidP="00B55CAF">
            <w:pPr>
              <w:rPr>
                <w:rFonts w:ascii="Arial" w:hAnsi="Arial" w:cs="Arial"/>
              </w:rPr>
            </w:pPr>
          </w:p>
        </w:tc>
        <w:tc>
          <w:tcPr>
            <w:tcW w:w="1906" w:type="dxa"/>
          </w:tcPr>
          <w:p w:rsidR="00B55CAF" w:rsidRPr="00E93365" w:rsidRDefault="00B55CAF" w:rsidP="00B55CAF">
            <w:pPr>
              <w:rPr>
                <w:rFonts w:ascii="Arial" w:hAnsi="Arial" w:cs="Arial"/>
              </w:rPr>
            </w:pPr>
          </w:p>
        </w:tc>
        <w:tc>
          <w:tcPr>
            <w:tcW w:w="5688" w:type="dxa"/>
          </w:tcPr>
          <w:p w:rsidR="00B55CAF" w:rsidRPr="00E93365" w:rsidRDefault="00380821" w:rsidP="00380821">
            <w:pPr>
              <w:rPr>
                <w:rFonts w:ascii="Arial" w:hAnsi="Arial" w:cs="Arial"/>
              </w:rPr>
            </w:pPr>
            <w:r w:rsidRPr="00E93365">
              <w:rPr>
                <w:rFonts w:ascii="Arial" w:hAnsi="Arial" w:cs="Arial"/>
              </w:rPr>
              <w:t>Formal solicitations are more complicated, higher in risk and usually of higher dollar value and are conducted using the</w:t>
            </w:r>
            <w:r w:rsidR="00416601" w:rsidRPr="00E93365">
              <w:rPr>
                <w:rFonts w:ascii="Arial" w:hAnsi="Arial" w:cs="Arial"/>
              </w:rPr>
              <w:t xml:space="preserve"> </w:t>
            </w:r>
            <w:r w:rsidRPr="00E93365">
              <w:rPr>
                <w:rFonts w:ascii="Arial" w:hAnsi="Arial" w:cs="Arial"/>
              </w:rPr>
              <w:t>IFB, depending on the degree of specific language needed.</w:t>
            </w:r>
            <w:bookmarkStart w:id="0" w:name="_GoBack"/>
            <w:bookmarkEnd w:id="0"/>
          </w:p>
          <w:p w:rsidR="00380821" w:rsidRPr="00E93365" w:rsidRDefault="00380821" w:rsidP="00380821">
            <w:pPr>
              <w:rPr>
                <w:rFonts w:ascii="Arial" w:hAnsi="Arial" w:cs="Arial"/>
              </w:rPr>
            </w:pPr>
          </w:p>
        </w:tc>
      </w:tr>
      <w:tr w:rsidR="00B55CAF" w:rsidRPr="00E93365" w:rsidTr="00E93365">
        <w:tc>
          <w:tcPr>
            <w:tcW w:w="1982" w:type="dxa"/>
          </w:tcPr>
          <w:p w:rsidR="00B55CAF" w:rsidRPr="00E93365" w:rsidRDefault="00B55CAF" w:rsidP="00B55CAF">
            <w:pPr>
              <w:rPr>
                <w:rFonts w:ascii="Arial" w:hAnsi="Arial" w:cs="Arial"/>
              </w:rPr>
            </w:pPr>
            <w:r w:rsidRPr="00E93365">
              <w:rPr>
                <w:rFonts w:ascii="Arial" w:hAnsi="Arial" w:cs="Arial"/>
              </w:rPr>
              <w:t>Informal Competitive</w:t>
            </w:r>
          </w:p>
          <w:p w:rsidR="00B55CAF" w:rsidRPr="00E93365" w:rsidRDefault="00B55CAF" w:rsidP="00B55CAF">
            <w:pPr>
              <w:rPr>
                <w:rFonts w:ascii="Arial" w:hAnsi="Arial" w:cs="Arial"/>
              </w:rPr>
            </w:pPr>
          </w:p>
        </w:tc>
        <w:tc>
          <w:tcPr>
            <w:tcW w:w="1906" w:type="dxa"/>
          </w:tcPr>
          <w:p w:rsidR="00B55CAF" w:rsidRPr="00E93365" w:rsidRDefault="00B55CAF" w:rsidP="00B55CAF">
            <w:pPr>
              <w:rPr>
                <w:rFonts w:ascii="Arial" w:hAnsi="Arial" w:cs="Arial"/>
              </w:rPr>
            </w:pPr>
          </w:p>
        </w:tc>
        <w:tc>
          <w:tcPr>
            <w:tcW w:w="5688" w:type="dxa"/>
          </w:tcPr>
          <w:p w:rsidR="00B55CAF" w:rsidRPr="00E93365" w:rsidRDefault="00380821" w:rsidP="00380821">
            <w:pPr>
              <w:rPr>
                <w:rFonts w:ascii="Arial" w:hAnsi="Arial" w:cs="Arial"/>
              </w:rPr>
            </w:pPr>
            <w:r w:rsidRPr="00E93365">
              <w:rPr>
                <w:rFonts w:ascii="Arial" w:hAnsi="Arial" w:cs="Arial"/>
              </w:rPr>
              <w:t>Informal solicitations are generally straightforward or uncomplicated and usually of lower dollar value and may be conducted using Request for Quotations (RFQ) or Invitation for Bids (IFB), depending on the degree of specific language needed.</w:t>
            </w:r>
          </w:p>
        </w:tc>
      </w:tr>
      <w:tr w:rsidR="00B55CAF" w:rsidRPr="00E93365" w:rsidTr="00E93365">
        <w:tc>
          <w:tcPr>
            <w:tcW w:w="1982" w:type="dxa"/>
          </w:tcPr>
          <w:p w:rsidR="00B55CAF" w:rsidRPr="00E93365" w:rsidRDefault="00380821" w:rsidP="00380821">
            <w:pPr>
              <w:rPr>
                <w:rFonts w:ascii="Arial" w:hAnsi="Arial" w:cs="Arial"/>
              </w:rPr>
            </w:pPr>
            <w:r w:rsidRPr="00E93365">
              <w:rPr>
                <w:rFonts w:ascii="Arial" w:hAnsi="Arial" w:cs="Arial"/>
              </w:rPr>
              <w:t>Limited Competitive Bidding</w:t>
            </w:r>
          </w:p>
        </w:tc>
        <w:tc>
          <w:tcPr>
            <w:tcW w:w="1906" w:type="dxa"/>
          </w:tcPr>
          <w:p w:rsidR="00380821" w:rsidRPr="00E93365" w:rsidRDefault="00380821" w:rsidP="00380821">
            <w:pPr>
              <w:rPr>
                <w:rFonts w:ascii="Arial" w:hAnsi="Arial" w:cs="Arial"/>
              </w:rPr>
            </w:pPr>
            <w:r w:rsidRPr="00E93365">
              <w:rPr>
                <w:rFonts w:ascii="Arial" w:hAnsi="Arial" w:cs="Arial"/>
              </w:rPr>
              <w:t>LCB</w:t>
            </w:r>
          </w:p>
          <w:p w:rsidR="00B55CAF" w:rsidRPr="00E93365" w:rsidRDefault="00B55CAF" w:rsidP="00B55CAF">
            <w:pPr>
              <w:rPr>
                <w:rFonts w:ascii="Arial" w:hAnsi="Arial" w:cs="Arial"/>
              </w:rPr>
            </w:pPr>
          </w:p>
        </w:tc>
        <w:tc>
          <w:tcPr>
            <w:tcW w:w="5688" w:type="dxa"/>
          </w:tcPr>
          <w:p w:rsidR="00416601" w:rsidRPr="00E93365" w:rsidRDefault="00416601" w:rsidP="00416601">
            <w:pPr>
              <w:rPr>
                <w:rFonts w:ascii="Arial" w:hAnsi="Arial" w:cs="Arial"/>
              </w:rPr>
            </w:pPr>
            <w:r w:rsidRPr="00E93365">
              <w:rPr>
                <w:rFonts w:ascii="Arial" w:hAnsi="Arial" w:cs="Arial"/>
              </w:rPr>
              <w:t>LTB contracts are limited by statute in accordance with PCC Sections 10301,10302, also for non-IT goods, to the following conditions:</w:t>
            </w:r>
          </w:p>
          <w:p w:rsidR="00416601" w:rsidRPr="00E93365" w:rsidRDefault="00416601" w:rsidP="00416601">
            <w:pPr>
              <w:rPr>
                <w:rFonts w:ascii="Arial" w:hAnsi="Arial" w:cs="Arial"/>
              </w:rPr>
            </w:pPr>
            <w:r w:rsidRPr="00E93365">
              <w:rPr>
                <w:rFonts w:ascii="Arial" w:hAnsi="Arial" w:cs="Arial"/>
              </w:rPr>
              <w:t>• Emergencies, where immediate acquisition is necessary to prevent or mitigate the loss or impairment of life, health, property, or essential public services.</w:t>
            </w:r>
          </w:p>
          <w:p w:rsidR="00416601" w:rsidRPr="00E93365" w:rsidRDefault="00416601" w:rsidP="00416601">
            <w:pPr>
              <w:rPr>
                <w:rFonts w:ascii="Arial" w:hAnsi="Arial" w:cs="Arial"/>
              </w:rPr>
            </w:pPr>
            <w:r w:rsidRPr="00E93365">
              <w:rPr>
                <w:rFonts w:ascii="Arial" w:hAnsi="Arial" w:cs="Arial"/>
              </w:rPr>
              <w:t>• Proposed acquisition of goods which are the only goods that meet the State’s need.</w:t>
            </w:r>
          </w:p>
        </w:tc>
      </w:tr>
      <w:tr w:rsidR="00B55CAF" w:rsidRPr="00E93365" w:rsidTr="00E93365">
        <w:tc>
          <w:tcPr>
            <w:tcW w:w="1982" w:type="dxa"/>
          </w:tcPr>
          <w:p w:rsidR="00B55CAF" w:rsidRPr="00E93365" w:rsidRDefault="00B55CAF" w:rsidP="00B55CAF">
            <w:pPr>
              <w:rPr>
                <w:rFonts w:ascii="Arial" w:hAnsi="Arial" w:cs="Arial"/>
              </w:rPr>
            </w:pPr>
            <w:r w:rsidRPr="00E93365">
              <w:rPr>
                <w:rFonts w:ascii="Arial" w:hAnsi="Arial" w:cs="Arial"/>
              </w:rPr>
              <w:t>Master Purchase/Price Agreement</w:t>
            </w:r>
          </w:p>
          <w:p w:rsidR="00B55CAF" w:rsidRPr="00E93365" w:rsidRDefault="00B55CAF" w:rsidP="00B55CAF">
            <w:pPr>
              <w:rPr>
                <w:rFonts w:ascii="Arial" w:hAnsi="Arial" w:cs="Arial"/>
              </w:rPr>
            </w:pPr>
          </w:p>
        </w:tc>
        <w:tc>
          <w:tcPr>
            <w:tcW w:w="1906" w:type="dxa"/>
          </w:tcPr>
          <w:p w:rsidR="00B55CAF" w:rsidRPr="00E93365" w:rsidRDefault="00B55CAF" w:rsidP="00B55CAF">
            <w:pPr>
              <w:rPr>
                <w:rFonts w:ascii="Arial" w:hAnsi="Arial" w:cs="Arial"/>
              </w:rPr>
            </w:pPr>
          </w:p>
        </w:tc>
        <w:tc>
          <w:tcPr>
            <w:tcW w:w="5688" w:type="dxa"/>
          </w:tcPr>
          <w:p w:rsidR="00B55CAF" w:rsidRPr="00E93365" w:rsidRDefault="00416601" w:rsidP="00B55CAF">
            <w:pPr>
              <w:rPr>
                <w:rFonts w:ascii="Arial" w:hAnsi="Arial" w:cs="Arial"/>
              </w:rPr>
            </w:pPr>
            <w:r w:rsidRPr="00E93365">
              <w:rPr>
                <w:rFonts w:ascii="Arial" w:hAnsi="Arial" w:cs="Arial"/>
              </w:rPr>
              <w:t xml:space="preserve">Master Agreements are contracts that are competitively bid by the DGS and available to any agency that expend public funds.  These </w:t>
            </w:r>
            <w:proofErr w:type="gramStart"/>
            <w:r w:rsidRPr="00E93365">
              <w:rPr>
                <w:rFonts w:ascii="Arial" w:hAnsi="Arial" w:cs="Arial"/>
              </w:rPr>
              <w:t>type</w:t>
            </w:r>
            <w:proofErr w:type="gramEnd"/>
            <w:r w:rsidRPr="00E93365">
              <w:rPr>
                <w:rFonts w:ascii="Arial" w:hAnsi="Arial" w:cs="Arial"/>
              </w:rPr>
              <w:t xml:space="preserve"> of agreements establish a pre-qualified list of vendors and simplify the purchasing process for the end user, by utilizing fair and reasonable pricing for the function to be provide</w:t>
            </w:r>
            <w:r w:rsidR="00414E05" w:rsidRPr="00E93365">
              <w:rPr>
                <w:rFonts w:ascii="Arial" w:hAnsi="Arial" w:cs="Arial"/>
              </w:rPr>
              <w:t>.</w:t>
            </w:r>
          </w:p>
        </w:tc>
      </w:tr>
      <w:tr w:rsidR="00B55CAF" w:rsidRPr="00E93365" w:rsidTr="00E93365">
        <w:tc>
          <w:tcPr>
            <w:tcW w:w="1982" w:type="dxa"/>
          </w:tcPr>
          <w:p w:rsidR="00B55CAF" w:rsidRPr="00E93365" w:rsidRDefault="00B55CAF" w:rsidP="00B55CAF">
            <w:pPr>
              <w:rPr>
                <w:rFonts w:ascii="Arial" w:hAnsi="Arial" w:cs="Arial"/>
              </w:rPr>
            </w:pPr>
            <w:r w:rsidRPr="00E93365">
              <w:rPr>
                <w:rFonts w:ascii="Arial" w:hAnsi="Arial" w:cs="Arial"/>
              </w:rPr>
              <w:t>Master Rental Agreement</w:t>
            </w:r>
          </w:p>
          <w:p w:rsidR="00B55CAF" w:rsidRPr="00E93365" w:rsidRDefault="00B55CAF" w:rsidP="00B55CAF">
            <w:pPr>
              <w:rPr>
                <w:rFonts w:ascii="Arial" w:hAnsi="Arial" w:cs="Arial"/>
              </w:rPr>
            </w:pPr>
          </w:p>
        </w:tc>
        <w:tc>
          <w:tcPr>
            <w:tcW w:w="1906" w:type="dxa"/>
          </w:tcPr>
          <w:p w:rsidR="00B55CAF" w:rsidRPr="00E93365" w:rsidRDefault="00B55CAF" w:rsidP="00B55CAF">
            <w:pPr>
              <w:rPr>
                <w:rFonts w:ascii="Arial" w:hAnsi="Arial" w:cs="Arial"/>
              </w:rPr>
            </w:pPr>
          </w:p>
        </w:tc>
        <w:tc>
          <w:tcPr>
            <w:tcW w:w="5688" w:type="dxa"/>
          </w:tcPr>
          <w:p w:rsidR="00B55CAF" w:rsidRPr="00E93365" w:rsidRDefault="00414E05" w:rsidP="00B55CAF">
            <w:pPr>
              <w:rPr>
                <w:rFonts w:ascii="Arial" w:hAnsi="Arial" w:cs="Arial"/>
              </w:rPr>
            </w:pPr>
            <w:r w:rsidRPr="00E93365">
              <w:rPr>
                <w:rFonts w:ascii="Arial" w:hAnsi="Arial" w:cs="Arial"/>
              </w:rPr>
              <w:t>Please see Master Purchase/Price Agreement.</w:t>
            </w:r>
          </w:p>
        </w:tc>
      </w:tr>
      <w:tr w:rsidR="00B55CAF" w:rsidRPr="00E93365" w:rsidTr="00E93365">
        <w:tc>
          <w:tcPr>
            <w:tcW w:w="1982" w:type="dxa"/>
          </w:tcPr>
          <w:p w:rsidR="00B55CAF" w:rsidRPr="00E93365" w:rsidRDefault="00B55CAF" w:rsidP="00B55CAF">
            <w:pPr>
              <w:rPr>
                <w:rFonts w:ascii="Arial" w:hAnsi="Arial" w:cs="Arial"/>
              </w:rPr>
            </w:pPr>
            <w:r w:rsidRPr="00E93365">
              <w:rPr>
                <w:rFonts w:ascii="Arial" w:hAnsi="Arial" w:cs="Arial"/>
              </w:rPr>
              <w:lastRenderedPageBreak/>
              <w:t>Master Service Agreement</w:t>
            </w:r>
          </w:p>
          <w:p w:rsidR="00B55CAF" w:rsidRPr="00E93365" w:rsidRDefault="00B55CAF" w:rsidP="00B55CAF">
            <w:pPr>
              <w:rPr>
                <w:rFonts w:ascii="Arial" w:hAnsi="Arial" w:cs="Arial"/>
              </w:rPr>
            </w:pPr>
          </w:p>
        </w:tc>
        <w:tc>
          <w:tcPr>
            <w:tcW w:w="1906" w:type="dxa"/>
          </w:tcPr>
          <w:p w:rsidR="00B55CAF" w:rsidRPr="00E93365" w:rsidRDefault="00B55CAF" w:rsidP="00B55CAF">
            <w:pPr>
              <w:rPr>
                <w:rFonts w:ascii="Arial" w:hAnsi="Arial" w:cs="Arial"/>
              </w:rPr>
            </w:pPr>
          </w:p>
        </w:tc>
        <w:tc>
          <w:tcPr>
            <w:tcW w:w="5688" w:type="dxa"/>
          </w:tcPr>
          <w:p w:rsidR="00B55CAF" w:rsidRPr="00E93365" w:rsidRDefault="00414E05" w:rsidP="00B55CAF">
            <w:pPr>
              <w:rPr>
                <w:rFonts w:ascii="Arial" w:hAnsi="Arial" w:cs="Arial"/>
              </w:rPr>
            </w:pPr>
            <w:r w:rsidRPr="00E93365">
              <w:rPr>
                <w:rFonts w:ascii="Arial" w:hAnsi="Arial" w:cs="Arial"/>
              </w:rPr>
              <w:t>Please see Master Purchase/Price Agreement.</w:t>
            </w:r>
          </w:p>
        </w:tc>
      </w:tr>
      <w:tr w:rsidR="00B55CAF" w:rsidRPr="00E93365" w:rsidTr="00E93365">
        <w:tc>
          <w:tcPr>
            <w:tcW w:w="1982" w:type="dxa"/>
          </w:tcPr>
          <w:p w:rsidR="00B55CAF" w:rsidRPr="00E93365" w:rsidRDefault="00380821" w:rsidP="00380821">
            <w:pPr>
              <w:rPr>
                <w:rFonts w:ascii="Arial" w:hAnsi="Arial" w:cs="Arial"/>
              </w:rPr>
            </w:pPr>
            <w:r w:rsidRPr="00E93365">
              <w:rPr>
                <w:rFonts w:ascii="Arial" w:hAnsi="Arial" w:cs="Arial"/>
              </w:rPr>
              <w:t>Non-Competitive Bid</w:t>
            </w:r>
          </w:p>
        </w:tc>
        <w:tc>
          <w:tcPr>
            <w:tcW w:w="1906" w:type="dxa"/>
          </w:tcPr>
          <w:p w:rsidR="00380821" w:rsidRPr="00E93365" w:rsidRDefault="00380821" w:rsidP="00380821">
            <w:pPr>
              <w:rPr>
                <w:rFonts w:ascii="Arial" w:hAnsi="Arial" w:cs="Arial"/>
              </w:rPr>
            </w:pPr>
            <w:r w:rsidRPr="00E93365">
              <w:rPr>
                <w:rFonts w:ascii="Arial" w:hAnsi="Arial" w:cs="Arial"/>
              </w:rPr>
              <w:t>NCB</w:t>
            </w:r>
          </w:p>
          <w:p w:rsidR="00B55CAF" w:rsidRPr="00E93365" w:rsidRDefault="00B55CAF" w:rsidP="00B55CAF">
            <w:pPr>
              <w:rPr>
                <w:rFonts w:ascii="Arial" w:hAnsi="Arial" w:cs="Arial"/>
              </w:rPr>
            </w:pPr>
          </w:p>
        </w:tc>
        <w:tc>
          <w:tcPr>
            <w:tcW w:w="5688" w:type="dxa"/>
          </w:tcPr>
          <w:p w:rsidR="00F84BBE" w:rsidRPr="00E93365" w:rsidRDefault="00F84BBE" w:rsidP="00F84BBE">
            <w:pPr>
              <w:rPr>
                <w:rFonts w:ascii="Arial" w:hAnsi="Arial" w:cs="Arial"/>
              </w:rPr>
            </w:pPr>
            <w:r w:rsidRPr="00E93365">
              <w:rPr>
                <w:rFonts w:ascii="Arial" w:hAnsi="Arial" w:cs="Arial"/>
              </w:rPr>
              <w:t>NCB contracts are limited by statute in accordance with PCC section 10301 and 10302 for goods to the following conditions:</w:t>
            </w:r>
          </w:p>
          <w:p w:rsidR="00F84BBE" w:rsidRPr="00E93365" w:rsidRDefault="00F84BBE" w:rsidP="00F84BBE">
            <w:pPr>
              <w:rPr>
                <w:rFonts w:ascii="Arial" w:hAnsi="Arial" w:cs="Arial"/>
              </w:rPr>
            </w:pPr>
            <w:r w:rsidRPr="00E93365">
              <w:rPr>
                <w:rFonts w:ascii="Arial" w:hAnsi="Arial" w:cs="Arial"/>
              </w:rPr>
              <w:t>• Emergencies, where immediate acquisition is necessary for the protection of the public health, welfare, or safety or;</w:t>
            </w:r>
          </w:p>
          <w:p w:rsidR="00B5659A" w:rsidRPr="00E93365" w:rsidRDefault="00F84BBE" w:rsidP="00F84BBE">
            <w:pPr>
              <w:rPr>
                <w:rFonts w:ascii="Arial" w:hAnsi="Arial" w:cs="Arial"/>
              </w:rPr>
            </w:pPr>
            <w:r w:rsidRPr="00E93365">
              <w:rPr>
                <w:rFonts w:ascii="Arial" w:hAnsi="Arial" w:cs="Arial"/>
              </w:rPr>
              <w:t>• Proposed acquisition of goods and services are the only goods and services that meet the State’s need.</w:t>
            </w:r>
          </w:p>
        </w:tc>
      </w:tr>
      <w:tr w:rsidR="00B55CAF" w:rsidRPr="00E93365" w:rsidTr="00E93365">
        <w:tc>
          <w:tcPr>
            <w:tcW w:w="1982" w:type="dxa"/>
          </w:tcPr>
          <w:p w:rsidR="00B55CAF" w:rsidRPr="00E93365" w:rsidRDefault="00380821" w:rsidP="00380821">
            <w:pPr>
              <w:rPr>
                <w:rFonts w:ascii="Arial" w:hAnsi="Arial" w:cs="Arial"/>
              </w:rPr>
            </w:pPr>
            <w:r w:rsidRPr="00E93365">
              <w:rPr>
                <w:rFonts w:ascii="Arial" w:hAnsi="Arial" w:cs="Arial"/>
              </w:rPr>
              <w:t>Small Business/Disabled Veterans Business Enterprise</w:t>
            </w:r>
          </w:p>
        </w:tc>
        <w:tc>
          <w:tcPr>
            <w:tcW w:w="1906" w:type="dxa"/>
          </w:tcPr>
          <w:p w:rsidR="00380821" w:rsidRPr="00E93365" w:rsidRDefault="00380821" w:rsidP="00380821">
            <w:pPr>
              <w:rPr>
                <w:rFonts w:ascii="Arial" w:hAnsi="Arial" w:cs="Arial"/>
              </w:rPr>
            </w:pPr>
            <w:r w:rsidRPr="00E93365">
              <w:rPr>
                <w:rFonts w:ascii="Arial" w:hAnsi="Arial" w:cs="Arial"/>
              </w:rPr>
              <w:t>SB/DVBE Option</w:t>
            </w:r>
          </w:p>
          <w:p w:rsidR="00B55CAF" w:rsidRPr="00E93365" w:rsidRDefault="00B55CAF" w:rsidP="00B55CAF">
            <w:pPr>
              <w:rPr>
                <w:rFonts w:ascii="Arial" w:hAnsi="Arial" w:cs="Arial"/>
              </w:rPr>
            </w:pPr>
          </w:p>
        </w:tc>
        <w:tc>
          <w:tcPr>
            <w:tcW w:w="5688" w:type="dxa"/>
          </w:tcPr>
          <w:p w:rsidR="00B55CAF" w:rsidRPr="00E93365" w:rsidRDefault="00B55CAF" w:rsidP="00B55CAF">
            <w:pPr>
              <w:rPr>
                <w:rFonts w:ascii="Arial" w:hAnsi="Arial" w:cs="Arial"/>
              </w:rPr>
            </w:pPr>
            <w:r w:rsidRPr="00E93365">
              <w:rPr>
                <w:rFonts w:ascii="Arial" w:hAnsi="Arial" w:cs="Arial"/>
              </w:rPr>
              <w:t>GC section 14838.5 (a) and (b) enables a department to conduct a competitive solicitation valued at $5,000.01 through $249,999.99 that targets only certified SB or certified DVBEs.</w:t>
            </w:r>
          </w:p>
        </w:tc>
      </w:tr>
      <w:tr w:rsidR="00B55CAF" w:rsidRPr="00E93365" w:rsidTr="00E93365">
        <w:tc>
          <w:tcPr>
            <w:tcW w:w="1982" w:type="dxa"/>
          </w:tcPr>
          <w:p w:rsidR="00B55CAF" w:rsidRPr="00E93365" w:rsidRDefault="00B55CAF" w:rsidP="00B55CAF">
            <w:pPr>
              <w:rPr>
                <w:rFonts w:ascii="Arial" w:hAnsi="Arial" w:cs="Arial"/>
              </w:rPr>
            </w:pPr>
            <w:r w:rsidRPr="00E93365">
              <w:rPr>
                <w:rFonts w:ascii="Arial" w:hAnsi="Arial" w:cs="Arial"/>
              </w:rPr>
              <w:t>Services are specifically exempt by policy</w:t>
            </w:r>
          </w:p>
          <w:p w:rsidR="00B55CAF" w:rsidRPr="00E93365" w:rsidRDefault="00B55CAF" w:rsidP="00B55CAF">
            <w:pPr>
              <w:rPr>
                <w:rFonts w:ascii="Arial" w:hAnsi="Arial" w:cs="Arial"/>
              </w:rPr>
            </w:pPr>
          </w:p>
        </w:tc>
        <w:tc>
          <w:tcPr>
            <w:tcW w:w="1906" w:type="dxa"/>
          </w:tcPr>
          <w:p w:rsidR="00B55CAF" w:rsidRPr="00E93365" w:rsidRDefault="00B55CAF" w:rsidP="00B55CAF">
            <w:pPr>
              <w:rPr>
                <w:rFonts w:ascii="Arial" w:hAnsi="Arial" w:cs="Arial"/>
              </w:rPr>
            </w:pPr>
          </w:p>
        </w:tc>
        <w:tc>
          <w:tcPr>
            <w:tcW w:w="5688" w:type="dxa"/>
          </w:tcPr>
          <w:p w:rsidR="00B55CAF" w:rsidRPr="00E93365" w:rsidRDefault="00B5659A" w:rsidP="00B55CAF">
            <w:pPr>
              <w:rPr>
                <w:rFonts w:ascii="Arial" w:hAnsi="Arial" w:cs="Arial"/>
              </w:rPr>
            </w:pPr>
            <w:r w:rsidRPr="00E93365">
              <w:rPr>
                <w:rFonts w:ascii="Arial" w:hAnsi="Arial" w:cs="Arial"/>
              </w:rPr>
              <w:t>There are purchases that may be awarded without advertising or competitive bidding and without an NCB, as a result of being exempt by policy. Although exempt by statute or policy, the purchasing authority dollar thresholds still apply.</w:t>
            </w:r>
          </w:p>
        </w:tc>
      </w:tr>
      <w:tr w:rsidR="00B55CAF" w:rsidRPr="00E93365" w:rsidTr="00E93365">
        <w:tc>
          <w:tcPr>
            <w:tcW w:w="1982" w:type="dxa"/>
          </w:tcPr>
          <w:p w:rsidR="00B55CAF" w:rsidRPr="00E93365" w:rsidRDefault="00B55CAF" w:rsidP="00B55CAF">
            <w:pPr>
              <w:rPr>
                <w:rFonts w:ascii="Arial" w:hAnsi="Arial" w:cs="Arial"/>
              </w:rPr>
            </w:pPr>
            <w:r w:rsidRPr="00E93365">
              <w:rPr>
                <w:rFonts w:ascii="Arial" w:hAnsi="Arial" w:cs="Arial"/>
              </w:rPr>
              <w:t>Service are specifically exempt by statute</w:t>
            </w:r>
          </w:p>
          <w:p w:rsidR="00B55CAF" w:rsidRPr="00E93365" w:rsidRDefault="00B55CAF" w:rsidP="00B55CAF">
            <w:pPr>
              <w:rPr>
                <w:rFonts w:ascii="Arial" w:hAnsi="Arial" w:cs="Arial"/>
              </w:rPr>
            </w:pPr>
          </w:p>
        </w:tc>
        <w:tc>
          <w:tcPr>
            <w:tcW w:w="1906" w:type="dxa"/>
          </w:tcPr>
          <w:p w:rsidR="00B55CAF" w:rsidRPr="00E93365" w:rsidRDefault="00B55CAF" w:rsidP="00B55CAF">
            <w:pPr>
              <w:rPr>
                <w:rFonts w:ascii="Arial" w:hAnsi="Arial" w:cs="Arial"/>
              </w:rPr>
            </w:pPr>
          </w:p>
        </w:tc>
        <w:tc>
          <w:tcPr>
            <w:tcW w:w="5688" w:type="dxa"/>
          </w:tcPr>
          <w:p w:rsidR="00B55CAF" w:rsidRPr="00E93365" w:rsidRDefault="00B5659A" w:rsidP="00B55CAF">
            <w:pPr>
              <w:rPr>
                <w:rFonts w:ascii="Arial" w:hAnsi="Arial" w:cs="Arial"/>
              </w:rPr>
            </w:pPr>
            <w:r w:rsidRPr="00E93365">
              <w:rPr>
                <w:rFonts w:ascii="Arial" w:hAnsi="Arial" w:cs="Arial"/>
              </w:rPr>
              <w:t>Please see Services are specifically exempt by policy.</w:t>
            </w:r>
          </w:p>
        </w:tc>
      </w:tr>
      <w:tr w:rsidR="00B55CAF" w:rsidRPr="00E93365" w:rsidTr="00E93365">
        <w:tc>
          <w:tcPr>
            <w:tcW w:w="1982" w:type="dxa"/>
          </w:tcPr>
          <w:p w:rsidR="00B55CAF" w:rsidRPr="00E93365" w:rsidRDefault="00B55CAF" w:rsidP="00B55CAF">
            <w:pPr>
              <w:rPr>
                <w:rFonts w:ascii="Arial" w:hAnsi="Arial" w:cs="Arial"/>
              </w:rPr>
            </w:pPr>
            <w:r w:rsidRPr="00E93365">
              <w:rPr>
                <w:rFonts w:ascii="Arial" w:hAnsi="Arial" w:cs="Arial"/>
              </w:rPr>
              <w:t>Software License Program</w:t>
            </w:r>
          </w:p>
          <w:p w:rsidR="00B55CAF" w:rsidRPr="00E93365" w:rsidRDefault="00B55CAF" w:rsidP="00B55CAF">
            <w:pPr>
              <w:rPr>
                <w:rFonts w:ascii="Arial" w:hAnsi="Arial" w:cs="Arial"/>
              </w:rPr>
            </w:pPr>
          </w:p>
        </w:tc>
        <w:tc>
          <w:tcPr>
            <w:tcW w:w="1906" w:type="dxa"/>
          </w:tcPr>
          <w:p w:rsidR="00B55CAF" w:rsidRPr="00E93365" w:rsidRDefault="00B55CAF" w:rsidP="00B55CAF">
            <w:pPr>
              <w:rPr>
                <w:rFonts w:ascii="Arial" w:hAnsi="Arial" w:cs="Arial"/>
              </w:rPr>
            </w:pPr>
          </w:p>
        </w:tc>
        <w:tc>
          <w:tcPr>
            <w:tcW w:w="5688" w:type="dxa"/>
          </w:tcPr>
          <w:p w:rsidR="00B55CAF" w:rsidRPr="00E93365" w:rsidRDefault="003E6143" w:rsidP="00B55CAF">
            <w:pPr>
              <w:rPr>
                <w:rFonts w:ascii="Arial" w:hAnsi="Arial" w:cs="Arial"/>
              </w:rPr>
            </w:pPr>
            <w:r w:rsidRPr="00E93365">
              <w:rPr>
                <w:rFonts w:ascii="Arial" w:hAnsi="Arial" w:cs="Arial"/>
              </w:rPr>
              <w:t>A pre-qualified list of suppliers exists</w:t>
            </w:r>
            <w:r w:rsidR="00B5659A" w:rsidRPr="00E93365">
              <w:rPr>
                <w:rFonts w:ascii="Arial" w:hAnsi="Arial" w:cs="Arial"/>
              </w:rPr>
              <w:t xml:space="preserve"> and therefore further competition is required.</w:t>
            </w:r>
          </w:p>
        </w:tc>
      </w:tr>
      <w:tr w:rsidR="00B55CAF" w:rsidRPr="00E93365" w:rsidTr="00E93365">
        <w:tc>
          <w:tcPr>
            <w:tcW w:w="1982" w:type="dxa"/>
          </w:tcPr>
          <w:p w:rsidR="00B55CAF" w:rsidRPr="00E93365" w:rsidRDefault="00380821" w:rsidP="00380821">
            <w:pPr>
              <w:rPr>
                <w:rFonts w:ascii="Arial" w:hAnsi="Arial" w:cs="Arial"/>
              </w:rPr>
            </w:pPr>
            <w:r w:rsidRPr="00E93365">
              <w:rPr>
                <w:rFonts w:ascii="Arial" w:hAnsi="Arial" w:cs="Arial"/>
              </w:rPr>
              <w:t xml:space="preserve">Special Category Request </w:t>
            </w:r>
          </w:p>
        </w:tc>
        <w:tc>
          <w:tcPr>
            <w:tcW w:w="1906" w:type="dxa"/>
          </w:tcPr>
          <w:p w:rsidR="00B55CAF" w:rsidRPr="00E93365" w:rsidRDefault="00380821" w:rsidP="00B55CAF">
            <w:pPr>
              <w:rPr>
                <w:rFonts w:ascii="Arial" w:hAnsi="Arial" w:cs="Arial"/>
              </w:rPr>
            </w:pPr>
            <w:r w:rsidRPr="00E93365">
              <w:rPr>
                <w:rFonts w:ascii="Arial" w:hAnsi="Arial" w:cs="Arial"/>
              </w:rPr>
              <w:t>SCR</w:t>
            </w:r>
          </w:p>
          <w:p w:rsidR="00380821" w:rsidRPr="00E93365" w:rsidRDefault="00380821" w:rsidP="00B55CAF">
            <w:pPr>
              <w:rPr>
                <w:rFonts w:ascii="Arial" w:hAnsi="Arial" w:cs="Arial"/>
              </w:rPr>
            </w:pPr>
          </w:p>
        </w:tc>
        <w:tc>
          <w:tcPr>
            <w:tcW w:w="5688" w:type="dxa"/>
          </w:tcPr>
          <w:p w:rsidR="00B55CAF" w:rsidRPr="00E93365" w:rsidRDefault="00F84BBE" w:rsidP="00B55CAF">
            <w:pPr>
              <w:rPr>
                <w:rFonts w:ascii="Arial" w:hAnsi="Arial" w:cs="Arial"/>
              </w:rPr>
            </w:pPr>
            <w:r w:rsidRPr="00E93365">
              <w:rPr>
                <w:rFonts w:ascii="Arial" w:hAnsi="Arial" w:cs="Arial"/>
              </w:rPr>
              <w:t>A Special Category NCB Contract Request (SCR) represents categories of contracts for the purchase of goods or services necessary to achieve a department’s program objectives in a timely manner, where the DGS has determined in advance and in writing, that for a specific type of category of goods or services there is no viable competition, or that due to critical time requirements such competition cannot be completed by the exercise of reasonable efforts prior to the time such goods or services are required.</w:t>
            </w:r>
          </w:p>
        </w:tc>
      </w:tr>
      <w:tr w:rsidR="00B55CAF" w:rsidRPr="00E93365" w:rsidTr="00E93365">
        <w:tc>
          <w:tcPr>
            <w:tcW w:w="1982" w:type="dxa"/>
          </w:tcPr>
          <w:p w:rsidR="00B55CAF" w:rsidRPr="00E93365" w:rsidRDefault="00B55CAF" w:rsidP="00B55CAF">
            <w:pPr>
              <w:rPr>
                <w:rFonts w:ascii="Arial" w:hAnsi="Arial" w:cs="Arial"/>
              </w:rPr>
            </w:pPr>
            <w:r w:rsidRPr="00E93365">
              <w:rPr>
                <w:rFonts w:ascii="Arial" w:hAnsi="Arial" w:cs="Arial"/>
              </w:rPr>
              <w:t>State Price Schedule</w:t>
            </w:r>
          </w:p>
          <w:p w:rsidR="00B55CAF" w:rsidRPr="00E93365" w:rsidRDefault="00B55CAF" w:rsidP="00B55CAF">
            <w:pPr>
              <w:rPr>
                <w:rFonts w:ascii="Arial" w:hAnsi="Arial" w:cs="Arial"/>
              </w:rPr>
            </w:pPr>
          </w:p>
        </w:tc>
        <w:tc>
          <w:tcPr>
            <w:tcW w:w="1906" w:type="dxa"/>
          </w:tcPr>
          <w:p w:rsidR="00B55CAF" w:rsidRPr="00E93365" w:rsidRDefault="00B55CAF" w:rsidP="00B55CAF">
            <w:pPr>
              <w:rPr>
                <w:rFonts w:ascii="Arial" w:hAnsi="Arial" w:cs="Arial"/>
              </w:rPr>
            </w:pPr>
          </w:p>
        </w:tc>
        <w:tc>
          <w:tcPr>
            <w:tcW w:w="5688" w:type="dxa"/>
          </w:tcPr>
          <w:p w:rsidR="00B55CAF" w:rsidRPr="00E93365" w:rsidRDefault="00746C32" w:rsidP="00746C32">
            <w:pPr>
              <w:pStyle w:val="Default"/>
            </w:pPr>
            <w:r>
              <w:rPr>
                <w:sz w:val="22"/>
                <w:szCs w:val="22"/>
              </w:rPr>
              <w:t xml:space="preserve">State Price Schedules (SPS) are non-competitively bid agreements for goods at a fixed price for a specified period of time. These agreements are established by the DGS/PD for use by State departments. </w:t>
            </w:r>
          </w:p>
        </w:tc>
      </w:tr>
      <w:tr w:rsidR="00B55CAF" w:rsidRPr="00E93365" w:rsidTr="00E93365">
        <w:tc>
          <w:tcPr>
            <w:tcW w:w="1982" w:type="dxa"/>
          </w:tcPr>
          <w:p w:rsidR="00B55CAF" w:rsidRPr="00E93365" w:rsidRDefault="00B55CAF" w:rsidP="00B55CAF">
            <w:pPr>
              <w:rPr>
                <w:rFonts w:ascii="Arial" w:hAnsi="Arial" w:cs="Arial"/>
              </w:rPr>
            </w:pPr>
            <w:r w:rsidRPr="00E93365">
              <w:rPr>
                <w:rFonts w:ascii="Arial" w:hAnsi="Arial" w:cs="Arial"/>
              </w:rPr>
              <w:t>State Programs</w:t>
            </w:r>
          </w:p>
          <w:p w:rsidR="00B55CAF" w:rsidRPr="00E93365" w:rsidRDefault="00B55CAF" w:rsidP="00B55CAF">
            <w:pPr>
              <w:rPr>
                <w:rFonts w:ascii="Arial" w:hAnsi="Arial" w:cs="Arial"/>
              </w:rPr>
            </w:pPr>
          </w:p>
        </w:tc>
        <w:tc>
          <w:tcPr>
            <w:tcW w:w="1906" w:type="dxa"/>
          </w:tcPr>
          <w:p w:rsidR="00B55CAF" w:rsidRPr="00E93365" w:rsidRDefault="00B55CAF" w:rsidP="00B55CAF">
            <w:pPr>
              <w:rPr>
                <w:rFonts w:ascii="Arial" w:hAnsi="Arial" w:cs="Arial"/>
              </w:rPr>
            </w:pPr>
          </w:p>
        </w:tc>
        <w:tc>
          <w:tcPr>
            <w:tcW w:w="5688" w:type="dxa"/>
          </w:tcPr>
          <w:p w:rsidR="00B55CAF" w:rsidRPr="00E93365" w:rsidRDefault="00746C32" w:rsidP="00746C32">
            <w:pPr>
              <w:rPr>
                <w:rFonts w:ascii="Arial" w:hAnsi="Arial" w:cs="Arial"/>
              </w:rPr>
            </w:pPr>
            <w:r w:rsidRPr="00746C32">
              <w:rPr>
                <w:rFonts w:ascii="Arial" w:hAnsi="Arial" w:cs="Arial"/>
              </w:rPr>
              <w:t xml:space="preserve">State Programs </w:t>
            </w:r>
            <w:r>
              <w:rPr>
                <w:rFonts w:ascii="Arial" w:hAnsi="Arial" w:cs="Arial"/>
              </w:rPr>
              <w:t xml:space="preserve">include </w:t>
            </w:r>
            <w:r w:rsidRPr="00746C32">
              <w:rPr>
                <w:rFonts w:ascii="Arial" w:hAnsi="Arial" w:cs="Arial"/>
              </w:rPr>
              <w:t>P</w:t>
            </w:r>
            <w:r>
              <w:rPr>
                <w:rFonts w:ascii="Arial" w:hAnsi="Arial" w:cs="Arial"/>
              </w:rPr>
              <w:t xml:space="preserve">roperty Reuse Program (Surplus), </w:t>
            </w:r>
            <w:r w:rsidRPr="00746C32">
              <w:rPr>
                <w:rFonts w:ascii="Arial" w:hAnsi="Arial" w:cs="Arial"/>
              </w:rPr>
              <w:t>California Pri</w:t>
            </w:r>
            <w:r>
              <w:rPr>
                <w:rFonts w:ascii="Arial" w:hAnsi="Arial" w:cs="Arial"/>
              </w:rPr>
              <w:t xml:space="preserve">son Industry Authority (CALPIA), and </w:t>
            </w:r>
            <w:r w:rsidRPr="00746C32">
              <w:rPr>
                <w:rFonts w:ascii="Arial" w:hAnsi="Arial" w:cs="Arial"/>
              </w:rPr>
              <w:t>Office of State Publishing (OSP)</w:t>
            </w:r>
          </w:p>
        </w:tc>
      </w:tr>
      <w:tr w:rsidR="00B55CAF" w:rsidRPr="00E93365" w:rsidTr="00E93365">
        <w:tc>
          <w:tcPr>
            <w:tcW w:w="1982" w:type="dxa"/>
          </w:tcPr>
          <w:p w:rsidR="00B55CAF" w:rsidRPr="00E93365" w:rsidRDefault="00B55CAF" w:rsidP="00B55CAF">
            <w:pPr>
              <w:rPr>
                <w:rFonts w:ascii="Arial" w:hAnsi="Arial" w:cs="Arial"/>
              </w:rPr>
            </w:pPr>
            <w:r w:rsidRPr="00E93365">
              <w:rPr>
                <w:rFonts w:ascii="Arial" w:hAnsi="Arial" w:cs="Arial"/>
              </w:rPr>
              <w:t>Statement of Qualifications</w:t>
            </w:r>
          </w:p>
          <w:p w:rsidR="00B55CAF" w:rsidRPr="00E93365" w:rsidRDefault="00B55CAF" w:rsidP="00B55CAF">
            <w:pPr>
              <w:rPr>
                <w:rFonts w:ascii="Arial" w:hAnsi="Arial" w:cs="Arial"/>
              </w:rPr>
            </w:pPr>
          </w:p>
        </w:tc>
        <w:tc>
          <w:tcPr>
            <w:tcW w:w="1906" w:type="dxa"/>
          </w:tcPr>
          <w:p w:rsidR="00B55CAF" w:rsidRPr="00E93365" w:rsidRDefault="00B55CAF" w:rsidP="00B55CAF">
            <w:pPr>
              <w:rPr>
                <w:rFonts w:ascii="Arial" w:hAnsi="Arial" w:cs="Arial"/>
              </w:rPr>
            </w:pPr>
          </w:p>
        </w:tc>
        <w:tc>
          <w:tcPr>
            <w:tcW w:w="5688" w:type="dxa"/>
          </w:tcPr>
          <w:p w:rsidR="00B55CAF" w:rsidRPr="00E93365" w:rsidRDefault="00746C32" w:rsidP="0023224E">
            <w:pPr>
              <w:rPr>
                <w:rFonts w:ascii="Arial" w:hAnsi="Arial" w:cs="Arial"/>
              </w:rPr>
            </w:pPr>
            <w:r>
              <w:rPr>
                <w:rFonts w:ascii="Arial" w:hAnsi="Arial" w:cs="Arial"/>
              </w:rPr>
              <w:t>State</w:t>
            </w:r>
            <w:r w:rsidR="0023224E">
              <w:rPr>
                <w:rFonts w:ascii="Arial" w:hAnsi="Arial" w:cs="Arial"/>
              </w:rPr>
              <w:t>ment</w:t>
            </w:r>
            <w:r>
              <w:rPr>
                <w:rFonts w:ascii="Arial" w:hAnsi="Arial" w:cs="Arial"/>
              </w:rPr>
              <w:t xml:space="preserve"> of Qualifications </w:t>
            </w:r>
            <w:r w:rsidRPr="00746C32">
              <w:rPr>
                <w:rFonts w:ascii="Arial" w:hAnsi="Arial" w:cs="Arial"/>
              </w:rPr>
              <w:t>sets out the criteria for determining the best qualified professional</w:t>
            </w:r>
            <w:r>
              <w:rPr>
                <w:rFonts w:ascii="Arial" w:hAnsi="Arial" w:cs="Arial"/>
              </w:rPr>
              <w:t xml:space="preserve">.  </w:t>
            </w:r>
            <w:r w:rsidRPr="00746C32">
              <w:rPr>
                <w:rFonts w:ascii="Arial" w:hAnsi="Arial" w:cs="Arial"/>
              </w:rPr>
              <w:t>Criteria include</w:t>
            </w:r>
            <w:r w:rsidR="0023224E">
              <w:rPr>
                <w:rFonts w:ascii="Arial" w:hAnsi="Arial" w:cs="Arial"/>
              </w:rPr>
              <w:t>s</w:t>
            </w:r>
            <w:r w:rsidRPr="00746C32">
              <w:rPr>
                <w:rFonts w:ascii="Arial" w:hAnsi="Arial" w:cs="Arial"/>
              </w:rPr>
              <w:t xml:space="preserve"> such factors as professional excellence, demonstrated competence, specialized experience of </w:t>
            </w:r>
            <w:r w:rsidRPr="00746C32">
              <w:rPr>
                <w:rFonts w:ascii="Arial" w:hAnsi="Arial" w:cs="Arial"/>
              </w:rPr>
              <w:lastRenderedPageBreak/>
              <w:t>the firm, education and experience of key personnel, staff capability, workload, ability to meet schedules, principals to be assigned, nature and quality of completed work, reliability and continuity of the firm, location, professional awards, and other relevant considerations</w:t>
            </w:r>
          </w:p>
        </w:tc>
      </w:tr>
      <w:tr w:rsidR="00B55CAF" w:rsidRPr="00E93365" w:rsidTr="00E93365">
        <w:tc>
          <w:tcPr>
            <w:tcW w:w="1982" w:type="dxa"/>
          </w:tcPr>
          <w:p w:rsidR="00B55CAF" w:rsidRPr="00E93365" w:rsidRDefault="00B55CAF" w:rsidP="00B55CAF">
            <w:pPr>
              <w:rPr>
                <w:rFonts w:ascii="Arial" w:hAnsi="Arial" w:cs="Arial"/>
              </w:rPr>
            </w:pPr>
            <w:r w:rsidRPr="00E93365">
              <w:rPr>
                <w:rFonts w:ascii="Arial" w:hAnsi="Arial" w:cs="Arial"/>
              </w:rPr>
              <w:lastRenderedPageBreak/>
              <w:t>Statewide Contract</w:t>
            </w:r>
          </w:p>
          <w:p w:rsidR="00B55CAF" w:rsidRPr="00E93365" w:rsidRDefault="00B55CAF" w:rsidP="00B55CAF">
            <w:pPr>
              <w:rPr>
                <w:rFonts w:ascii="Arial" w:hAnsi="Arial" w:cs="Arial"/>
              </w:rPr>
            </w:pPr>
          </w:p>
        </w:tc>
        <w:tc>
          <w:tcPr>
            <w:tcW w:w="1906" w:type="dxa"/>
          </w:tcPr>
          <w:p w:rsidR="00B55CAF" w:rsidRPr="00E93365" w:rsidRDefault="00B55CAF" w:rsidP="00B55CAF">
            <w:pPr>
              <w:rPr>
                <w:rFonts w:ascii="Arial" w:hAnsi="Arial" w:cs="Arial"/>
              </w:rPr>
            </w:pPr>
          </w:p>
        </w:tc>
        <w:tc>
          <w:tcPr>
            <w:tcW w:w="5688" w:type="dxa"/>
          </w:tcPr>
          <w:p w:rsidR="00B55CAF" w:rsidRPr="00E93365" w:rsidRDefault="003E6143" w:rsidP="003E6143">
            <w:pPr>
              <w:rPr>
                <w:rFonts w:ascii="Arial" w:hAnsi="Arial" w:cs="Arial"/>
              </w:rPr>
            </w:pPr>
            <w:r w:rsidRPr="00E93365">
              <w:rPr>
                <w:rFonts w:ascii="Arial" w:hAnsi="Arial" w:cs="Arial"/>
              </w:rPr>
              <w:t>Statewide Contracts (SCs) are competitively bid and awarded contracts established by the DGS/Procurement Division to take advantage of lower costs passed on by suppliers bidding on large quantities of goods repetitively used by multiple state departments. These contracts have unlimited dollar thresholds unless otherwise noted in the specific contract user instructions.</w:t>
            </w:r>
          </w:p>
        </w:tc>
      </w:tr>
      <w:tr w:rsidR="00B55CAF" w:rsidRPr="00E93365" w:rsidTr="00E93365">
        <w:tc>
          <w:tcPr>
            <w:tcW w:w="1982" w:type="dxa"/>
          </w:tcPr>
          <w:p w:rsidR="00B55CAF" w:rsidRPr="00E93365" w:rsidRDefault="00380821" w:rsidP="00380821">
            <w:pPr>
              <w:rPr>
                <w:rFonts w:ascii="Arial" w:hAnsi="Arial" w:cs="Arial"/>
              </w:rPr>
            </w:pPr>
            <w:r w:rsidRPr="00E93365">
              <w:rPr>
                <w:rFonts w:ascii="Arial" w:hAnsi="Arial" w:cs="Arial"/>
              </w:rPr>
              <w:t>Western States Contracting Alliance</w:t>
            </w:r>
          </w:p>
        </w:tc>
        <w:tc>
          <w:tcPr>
            <w:tcW w:w="1906" w:type="dxa"/>
          </w:tcPr>
          <w:p w:rsidR="00380821" w:rsidRPr="00E93365" w:rsidRDefault="00380821" w:rsidP="00380821">
            <w:pPr>
              <w:rPr>
                <w:rFonts w:ascii="Arial" w:hAnsi="Arial" w:cs="Arial"/>
              </w:rPr>
            </w:pPr>
            <w:r w:rsidRPr="00E93365">
              <w:rPr>
                <w:rFonts w:ascii="Arial" w:hAnsi="Arial" w:cs="Arial"/>
              </w:rPr>
              <w:t>WSCA/Coop</w:t>
            </w:r>
          </w:p>
          <w:p w:rsidR="00B55CAF" w:rsidRPr="00E93365" w:rsidRDefault="00B55CAF" w:rsidP="00B55CAF">
            <w:pPr>
              <w:rPr>
                <w:rFonts w:ascii="Arial" w:hAnsi="Arial" w:cs="Arial"/>
              </w:rPr>
            </w:pPr>
          </w:p>
        </w:tc>
        <w:tc>
          <w:tcPr>
            <w:tcW w:w="5688" w:type="dxa"/>
          </w:tcPr>
          <w:p w:rsidR="00B55CAF" w:rsidRPr="00E93365" w:rsidRDefault="003E6143" w:rsidP="00B55CAF">
            <w:pPr>
              <w:rPr>
                <w:rFonts w:ascii="Arial" w:hAnsi="Arial" w:cs="Arial"/>
              </w:rPr>
            </w:pPr>
            <w:r w:rsidRPr="00E93365">
              <w:rPr>
                <w:rFonts w:ascii="Arial" w:hAnsi="Arial" w:cs="Arial"/>
              </w:rPr>
              <w:t>The WSCA/NASPO establishes cooperative multi-state contracts where participating states may join together to achieve cost-effective and efficient acquisition of quality products and services. Departments executing orders using the WSCA/NASPO program are not required to obtain three offers or document best value, but conducting price comparisons among the WSCA/NASPO suppliers, if available, is encouraged. Refer to the user instructions of each contract.</w:t>
            </w:r>
          </w:p>
        </w:tc>
      </w:tr>
    </w:tbl>
    <w:p w:rsidR="00B55CAF" w:rsidRDefault="00B55CAF" w:rsidP="00B55CAF"/>
    <w:p w:rsidR="00B55CAF" w:rsidRDefault="00B55CAF"/>
    <w:sectPr w:rsidR="00B55CA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9A2" w:rsidRDefault="006949A2" w:rsidP="005E6A74">
      <w:pPr>
        <w:spacing w:after="0" w:line="240" w:lineRule="auto"/>
      </w:pPr>
      <w:r>
        <w:separator/>
      </w:r>
    </w:p>
  </w:endnote>
  <w:endnote w:type="continuationSeparator" w:id="0">
    <w:p w:rsidR="006949A2" w:rsidRDefault="006949A2" w:rsidP="005E6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4683359"/>
      <w:docPartObj>
        <w:docPartGallery w:val="Page Numbers (Bottom of Page)"/>
        <w:docPartUnique/>
      </w:docPartObj>
    </w:sdtPr>
    <w:sdtEndPr>
      <w:rPr>
        <w:noProof/>
      </w:rPr>
    </w:sdtEndPr>
    <w:sdtContent>
      <w:p w:rsidR="0023224E" w:rsidRDefault="0023224E">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23224E" w:rsidRDefault="002322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9A2" w:rsidRDefault="006949A2" w:rsidP="005E6A74">
      <w:pPr>
        <w:spacing w:after="0" w:line="240" w:lineRule="auto"/>
      </w:pPr>
      <w:r>
        <w:separator/>
      </w:r>
    </w:p>
  </w:footnote>
  <w:footnote w:type="continuationSeparator" w:id="0">
    <w:p w:rsidR="006949A2" w:rsidRDefault="006949A2" w:rsidP="005E6A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3E9562D26C2F41D7ADFA7B18D483C3A3"/>
      </w:placeholder>
      <w:dataBinding w:prefixMappings="xmlns:ns0='http://schemas.openxmlformats.org/package/2006/metadata/core-properties' xmlns:ns1='http://purl.org/dc/elements/1.1/'" w:xpath="/ns0:coreProperties[1]/ns1:title[1]" w:storeItemID="{6C3C8BC8-F283-45AE-878A-BAB7291924A1}"/>
      <w:text/>
    </w:sdtPr>
    <w:sdtContent>
      <w:p w:rsidR="0023224E" w:rsidRDefault="0023224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Acquisition Method Definitions</w:t>
        </w:r>
      </w:p>
    </w:sdtContent>
  </w:sdt>
  <w:p w:rsidR="0023224E" w:rsidRDefault="002322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CAF"/>
    <w:rsid w:val="00085686"/>
    <w:rsid w:val="0023224E"/>
    <w:rsid w:val="002C2286"/>
    <w:rsid w:val="00380821"/>
    <w:rsid w:val="003E6143"/>
    <w:rsid w:val="00414E05"/>
    <w:rsid w:val="00416601"/>
    <w:rsid w:val="00447C32"/>
    <w:rsid w:val="005E6A74"/>
    <w:rsid w:val="006949A2"/>
    <w:rsid w:val="00746C32"/>
    <w:rsid w:val="008A7CBC"/>
    <w:rsid w:val="009374DB"/>
    <w:rsid w:val="00B55CAF"/>
    <w:rsid w:val="00B5659A"/>
    <w:rsid w:val="00E21AD5"/>
    <w:rsid w:val="00E93365"/>
    <w:rsid w:val="00F71350"/>
    <w:rsid w:val="00F84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5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1350"/>
    <w:rPr>
      <w:color w:val="0000FF" w:themeColor="hyperlink"/>
      <w:u w:val="single"/>
    </w:rPr>
  </w:style>
  <w:style w:type="paragraph" w:styleId="BalloonText">
    <w:name w:val="Balloon Text"/>
    <w:basedOn w:val="Normal"/>
    <w:link w:val="BalloonTextChar"/>
    <w:uiPriority w:val="99"/>
    <w:semiHidden/>
    <w:unhideWhenUsed/>
    <w:rsid w:val="004166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601"/>
    <w:rPr>
      <w:rFonts w:ascii="Tahoma" w:hAnsi="Tahoma" w:cs="Tahoma"/>
      <w:sz w:val="16"/>
      <w:szCs w:val="16"/>
    </w:rPr>
  </w:style>
  <w:style w:type="paragraph" w:styleId="Header">
    <w:name w:val="header"/>
    <w:basedOn w:val="Normal"/>
    <w:link w:val="HeaderChar"/>
    <w:uiPriority w:val="99"/>
    <w:unhideWhenUsed/>
    <w:rsid w:val="005E6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A74"/>
  </w:style>
  <w:style w:type="paragraph" w:styleId="Footer">
    <w:name w:val="footer"/>
    <w:basedOn w:val="Normal"/>
    <w:link w:val="FooterChar"/>
    <w:uiPriority w:val="99"/>
    <w:unhideWhenUsed/>
    <w:rsid w:val="005E6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A74"/>
  </w:style>
  <w:style w:type="paragraph" w:customStyle="1" w:styleId="Default">
    <w:name w:val="Default"/>
    <w:rsid w:val="00746C32"/>
    <w:pPr>
      <w:autoSpaceDE w:val="0"/>
      <w:autoSpaceDN w:val="0"/>
      <w:adjustRightInd w:val="0"/>
      <w:spacing w:after="0" w:line="240" w:lineRule="auto"/>
    </w:pPr>
    <w:rPr>
      <w:rFonts w:ascii="Arial" w:hAnsi="Arial" w:cs="Arial"/>
      <w:color w:val="000000"/>
      <w:sz w:val="24"/>
      <w:szCs w:val="24"/>
    </w:rPr>
  </w:style>
  <w:style w:type="paragraph" w:styleId="FootnoteText">
    <w:name w:val="footnote text"/>
    <w:basedOn w:val="Normal"/>
    <w:link w:val="FootnoteTextChar"/>
    <w:uiPriority w:val="99"/>
    <w:semiHidden/>
    <w:unhideWhenUsed/>
    <w:rsid w:val="00232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224E"/>
    <w:rPr>
      <w:sz w:val="20"/>
      <w:szCs w:val="20"/>
    </w:rPr>
  </w:style>
  <w:style w:type="character" w:styleId="FootnoteReference">
    <w:name w:val="footnote reference"/>
    <w:basedOn w:val="DefaultParagraphFont"/>
    <w:uiPriority w:val="99"/>
    <w:semiHidden/>
    <w:unhideWhenUsed/>
    <w:rsid w:val="0023224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5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1350"/>
    <w:rPr>
      <w:color w:val="0000FF" w:themeColor="hyperlink"/>
      <w:u w:val="single"/>
    </w:rPr>
  </w:style>
  <w:style w:type="paragraph" w:styleId="BalloonText">
    <w:name w:val="Balloon Text"/>
    <w:basedOn w:val="Normal"/>
    <w:link w:val="BalloonTextChar"/>
    <w:uiPriority w:val="99"/>
    <w:semiHidden/>
    <w:unhideWhenUsed/>
    <w:rsid w:val="004166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601"/>
    <w:rPr>
      <w:rFonts w:ascii="Tahoma" w:hAnsi="Tahoma" w:cs="Tahoma"/>
      <w:sz w:val="16"/>
      <w:szCs w:val="16"/>
    </w:rPr>
  </w:style>
  <w:style w:type="paragraph" w:styleId="Header">
    <w:name w:val="header"/>
    <w:basedOn w:val="Normal"/>
    <w:link w:val="HeaderChar"/>
    <w:uiPriority w:val="99"/>
    <w:unhideWhenUsed/>
    <w:rsid w:val="005E6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A74"/>
  </w:style>
  <w:style w:type="paragraph" w:styleId="Footer">
    <w:name w:val="footer"/>
    <w:basedOn w:val="Normal"/>
    <w:link w:val="FooterChar"/>
    <w:uiPriority w:val="99"/>
    <w:unhideWhenUsed/>
    <w:rsid w:val="005E6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A74"/>
  </w:style>
  <w:style w:type="paragraph" w:customStyle="1" w:styleId="Default">
    <w:name w:val="Default"/>
    <w:rsid w:val="00746C32"/>
    <w:pPr>
      <w:autoSpaceDE w:val="0"/>
      <w:autoSpaceDN w:val="0"/>
      <w:adjustRightInd w:val="0"/>
      <w:spacing w:after="0" w:line="240" w:lineRule="auto"/>
    </w:pPr>
    <w:rPr>
      <w:rFonts w:ascii="Arial" w:hAnsi="Arial" w:cs="Arial"/>
      <w:color w:val="000000"/>
      <w:sz w:val="24"/>
      <w:szCs w:val="24"/>
    </w:rPr>
  </w:style>
  <w:style w:type="paragraph" w:styleId="FootnoteText">
    <w:name w:val="footnote text"/>
    <w:basedOn w:val="Normal"/>
    <w:link w:val="FootnoteTextChar"/>
    <w:uiPriority w:val="99"/>
    <w:semiHidden/>
    <w:unhideWhenUsed/>
    <w:rsid w:val="00232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224E"/>
    <w:rPr>
      <w:sz w:val="20"/>
      <w:szCs w:val="20"/>
    </w:rPr>
  </w:style>
  <w:style w:type="character" w:styleId="FootnoteReference">
    <w:name w:val="footnote reference"/>
    <w:basedOn w:val="DefaultParagraphFont"/>
    <w:uiPriority w:val="99"/>
    <w:semiHidden/>
    <w:unhideWhenUsed/>
    <w:rsid w:val="002322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gs.ca.gov/pd/Resources/publications/SCM2.aspx" TargetMode="Externa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dgs.ca.gov/pd/Resources/publications/SCM3.aspx"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E9562D26C2F41D7ADFA7B18D483C3A3"/>
        <w:category>
          <w:name w:val="General"/>
          <w:gallery w:val="placeholder"/>
        </w:category>
        <w:types>
          <w:type w:val="bbPlcHdr"/>
        </w:types>
        <w:behaviors>
          <w:behavior w:val="content"/>
        </w:behaviors>
        <w:guid w:val="{FD378DA8-0DBC-497C-85B4-1F0FE391F5D1}"/>
      </w:docPartPr>
      <w:docPartBody>
        <w:p w:rsidR="00000000" w:rsidRDefault="00FE1ED0" w:rsidP="00FE1ED0">
          <w:pPr>
            <w:pStyle w:val="3E9562D26C2F41D7ADFA7B18D483C3A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ED0"/>
    <w:rsid w:val="00304473"/>
    <w:rsid w:val="00FE1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5CC4DDBCFD478D9321B44257D71148">
    <w:name w:val="DB5CC4DDBCFD478D9321B44257D71148"/>
    <w:rsid w:val="00FE1ED0"/>
  </w:style>
  <w:style w:type="paragraph" w:customStyle="1" w:styleId="CB038F9FA34C4143A4F367E94AA20BD9">
    <w:name w:val="CB038F9FA34C4143A4F367E94AA20BD9"/>
    <w:rsid w:val="00FE1ED0"/>
  </w:style>
  <w:style w:type="paragraph" w:customStyle="1" w:styleId="8A48CAF392E147B89634D7137FD78B8B">
    <w:name w:val="8A48CAF392E147B89634D7137FD78B8B"/>
    <w:rsid w:val="00FE1ED0"/>
  </w:style>
  <w:style w:type="paragraph" w:customStyle="1" w:styleId="3E9562D26C2F41D7ADFA7B18D483C3A3">
    <w:name w:val="3E9562D26C2F41D7ADFA7B18D483C3A3"/>
    <w:rsid w:val="00FE1ED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5CC4DDBCFD478D9321B44257D71148">
    <w:name w:val="DB5CC4DDBCFD478D9321B44257D71148"/>
    <w:rsid w:val="00FE1ED0"/>
  </w:style>
  <w:style w:type="paragraph" w:customStyle="1" w:styleId="CB038F9FA34C4143A4F367E94AA20BD9">
    <w:name w:val="CB038F9FA34C4143A4F367E94AA20BD9"/>
    <w:rsid w:val="00FE1ED0"/>
  </w:style>
  <w:style w:type="paragraph" w:customStyle="1" w:styleId="8A48CAF392E147B89634D7137FD78B8B">
    <w:name w:val="8A48CAF392E147B89634D7137FD78B8B"/>
    <w:rsid w:val="00FE1ED0"/>
  </w:style>
  <w:style w:type="paragraph" w:customStyle="1" w:styleId="3E9562D26C2F41D7ADFA7B18D483C3A3">
    <w:name w:val="3E9562D26C2F41D7ADFA7B18D483C3A3"/>
    <w:rsid w:val="00FE1E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EB5809-4D8C-4E73-996E-7A24923F2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Acquisition Method Definitions</dc:title>
  <dc:creator>Kim Agustin</dc:creator>
  <cp:lastModifiedBy>Mom</cp:lastModifiedBy>
  <cp:revision>3</cp:revision>
  <dcterms:created xsi:type="dcterms:W3CDTF">2015-10-07T20:57:00Z</dcterms:created>
  <dcterms:modified xsi:type="dcterms:W3CDTF">2015-10-08T03:49:00Z</dcterms:modified>
</cp:coreProperties>
</file>