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600" w:lineRule="exact"/>
        <w:rPr>
          <w:rFonts w:ascii="黑体" w:hAnsi="黑体" w:eastAsia="黑体"/>
          <w:sz w:val="28"/>
          <w:szCs w:val="28"/>
        </w:rPr>
      </w:pPr>
    </w:p>
    <w:p>
      <w:pPr>
        <w:rPr>
          <w:rFonts w:ascii="Times New Roman" w:hAnsi="Times New Roman" w:eastAsia="方正小标宋简体"/>
          <w:b/>
          <w:sz w:val="60"/>
          <w:shd w:val="pct10" w:color="auto" w:fill="FFFFFF"/>
        </w:rPr>
      </w:pPr>
    </w:p>
    <w:p>
      <w:pPr>
        <w:jc w:val="center"/>
        <w:rPr>
          <w:rFonts w:ascii="Times New Roman" w:hAnsi="Times New Roman" w:eastAsia="方正小标宋简体"/>
          <w:b/>
          <w:sz w:val="60"/>
        </w:rPr>
      </w:pPr>
    </w:p>
    <w:p>
      <w:pPr>
        <w:jc w:val="center"/>
        <w:rPr>
          <w:rFonts w:ascii="华文中宋" w:hAnsi="华文中宋" w:eastAsia="华文中宋"/>
          <w:sz w:val="100"/>
        </w:rPr>
      </w:pPr>
      <w:r>
        <w:rPr>
          <w:rFonts w:ascii="华文中宋" w:hAnsi="华文中宋" w:eastAsia="华文中宋"/>
          <w:sz w:val="100"/>
        </w:rPr>
        <w:t>医师资格考试大纲</w:t>
      </w:r>
    </w:p>
    <w:p>
      <w:pPr>
        <w:snapToGrid w:val="0"/>
        <w:jc w:val="center"/>
        <w:rPr>
          <w:rFonts w:eastAsia="仿宋_GB2312"/>
          <w:sz w:val="60"/>
          <w:szCs w:val="60"/>
        </w:rPr>
      </w:pPr>
    </w:p>
    <w:p>
      <w:pPr>
        <w:snapToGrid w:val="0"/>
        <w:jc w:val="center"/>
        <w:rPr>
          <w:rFonts w:eastAsia="仿宋_GB2312"/>
          <w:sz w:val="60"/>
          <w:szCs w:val="60"/>
        </w:rPr>
      </w:pPr>
      <w:r>
        <w:rPr>
          <w:rFonts w:hint="eastAsia" w:eastAsia="仿宋_GB2312"/>
          <w:sz w:val="60"/>
          <w:szCs w:val="60"/>
        </w:rPr>
        <w:t>执业医师 军事医学</w:t>
      </w:r>
    </w:p>
    <w:p>
      <w:pPr>
        <w:snapToGrid w:val="0"/>
        <w:rPr>
          <w:rFonts w:eastAsia="仿宋_GB2312"/>
          <w:sz w:val="32"/>
        </w:rPr>
      </w:pPr>
    </w:p>
    <w:p>
      <w:pPr>
        <w:snapToGrid w:val="0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jc w:val="center"/>
        <w:rPr>
          <w:rFonts w:ascii="楷体" w:hAnsi="楷体" w:eastAsia="楷体"/>
          <w:sz w:val="44"/>
        </w:rPr>
      </w:pPr>
      <w:r>
        <w:rPr>
          <w:rFonts w:hint="eastAsia" w:ascii="楷体" w:hAnsi="楷体" w:eastAsia="楷体"/>
          <w:sz w:val="44"/>
        </w:rPr>
        <w:t>国家卫生健康委员会</w:t>
      </w:r>
    </w:p>
    <w:p>
      <w:pPr>
        <w:jc w:val="center"/>
        <w:rPr>
          <w:rFonts w:ascii="楷体" w:hAnsi="楷体" w:eastAsia="楷体"/>
          <w:sz w:val="44"/>
        </w:rPr>
      </w:pPr>
      <w:r>
        <w:rPr>
          <w:rFonts w:hint="eastAsia" w:ascii="楷体" w:hAnsi="楷体" w:eastAsia="楷体"/>
          <w:sz w:val="44"/>
        </w:rPr>
        <w:t>医师资格考试委员会</w:t>
      </w:r>
    </w:p>
    <w:p>
      <w:pPr>
        <w:jc w:val="center"/>
        <w:rPr>
          <w:rFonts w:ascii="楷体" w:hAnsi="楷体" w:eastAsia="楷体"/>
          <w:sz w:val="44"/>
        </w:rPr>
      </w:pPr>
    </w:p>
    <w:p>
      <w:pPr>
        <w:jc w:val="center"/>
        <w:rPr>
          <w:rFonts w:ascii="Times New Roman" w:hAnsi="Times New Roman" w:eastAsia="楷体"/>
          <w:sz w:val="44"/>
        </w:rPr>
      </w:pPr>
      <w:r>
        <w:rPr>
          <w:rFonts w:ascii="Times New Roman" w:hAnsi="Times New Roman" w:eastAsia="楷体"/>
          <w:kern w:val="0"/>
          <w:sz w:val="44"/>
        </w:rPr>
        <w:t>2023年</w:t>
      </w:r>
      <w:r>
        <w:rPr>
          <w:rFonts w:hint="eastAsia" w:ascii="Times New Roman" w:hAnsi="Times New Roman" w:eastAsia="楷体"/>
          <w:kern w:val="0"/>
          <w:sz w:val="44"/>
          <w:lang w:val="en-US" w:eastAsia="zh-CN"/>
        </w:rPr>
        <w:t>11</w:t>
      </w:r>
      <w:r>
        <w:rPr>
          <w:rFonts w:ascii="Times New Roman" w:hAnsi="Times New Roman" w:eastAsia="楷体"/>
          <w:kern w:val="0"/>
          <w:sz w:val="44"/>
        </w:rPr>
        <w:t>月</w:t>
      </w:r>
    </w:p>
    <w:p>
      <w:pPr>
        <w:widowControl/>
        <w:jc w:val="left"/>
        <w:rPr>
          <w:rFonts w:eastAsia="黑体"/>
          <w:b/>
          <w:kern w:val="0"/>
          <w:sz w:val="44"/>
        </w:rPr>
      </w:pPr>
      <w:r>
        <w:rPr>
          <w:rFonts w:eastAsia="黑体"/>
          <w:b/>
          <w:kern w:val="0"/>
          <w:sz w:val="44"/>
        </w:rPr>
        <w:br w:type="page"/>
      </w:r>
    </w:p>
    <w:p>
      <w:pPr>
        <w:widowControl/>
        <w:jc w:val="left"/>
        <w:rPr>
          <w:rFonts w:eastAsia="黑体"/>
          <w:b/>
          <w:kern w:val="0"/>
          <w:sz w:val="44"/>
        </w:rPr>
      </w:pPr>
    </w:p>
    <w:p>
      <w:pPr>
        <w:widowControl/>
        <w:jc w:val="left"/>
        <w:rPr>
          <w:rFonts w:eastAsia="黑体"/>
          <w:b/>
          <w:kern w:val="0"/>
          <w:sz w:val="44"/>
        </w:rPr>
        <w:sectPr>
          <w:footerReference r:id="rId5" w:type="first"/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Times New Roman" w:hAnsi="Times New Roman" w:eastAsia="方正小标宋简体" w:cs="Times New Roman"/>
          <w:color w:val="FF0000"/>
          <w:sz w:val="76"/>
          <w:szCs w:val="76"/>
        </w:rPr>
      </w:pPr>
      <w:r>
        <w:rPr>
          <w:rFonts w:ascii="Times New Roman" w:hAnsi="Times New Roman" w:eastAsia="方正小标宋简体" w:cs="Times New Roman"/>
          <w:color w:val="FF0000"/>
          <w:sz w:val="76"/>
          <w:szCs w:val="76"/>
        </w:rPr>
        <w:br w:type="page"/>
      </w:r>
    </w:p>
    <w:p>
      <w:pPr>
        <w:spacing w:line="110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  <w:r>
        <w:rPr>
          <w:rFonts w:ascii="Times New Roman" w:hAnsi="Times New Roman" w:eastAsia="方正小标宋简体" w:cs="Times New Roman"/>
          <w:b/>
          <w:sz w:val="44"/>
          <w:szCs w:val="44"/>
        </w:rPr>
        <w:t>前  言</w:t>
      </w:r>
    </w:p>
    <w:p>
      <w:pPr>
        <w:spacing w:line="480" w:lineRule="auto"/>
        <w:ind w:firstLine="646"/>
        <w:rPr>
          <w:rFonts w:ascii="Times New Roman" w:hAnsi="Times New Roman" w:eastAsia="仿宋_GB2312" w:cs="Times New Roman"/>
          <w:sz w:val="48"/>
          <w:szCs w:val="48"/>
        </w:rPr>
      </w:pP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军队担负维护国家安全、维护和平环境的神圣使命，军队医师是维护和促进军队成员健康、保障其战斗力的主要力量。在新时代强军目标的引领下，聚焦打仗备战，军队医师必须具备过硬的卫勤保障专业素质及能力。军队医师在达到《医师资格考试大纲》前言中对执业医师所提出的具体要求之外，还应满足以下要求：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1．掌握平战时军队基本卫勤理论与主要保障方法。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2．掌握军队流行病学的理论与方法。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3．掌握军队成员健康维护和能力提升的卫生学保障原则与措施。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4．掌握核化生武器伤害的特点和规律、医学防护、救治原则与措施。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5．具备军队卫勤保障的组织指挥、医疗后送、卫生防疫、核化生武器损伤医学防护等基本技能。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为充分体现军队医师的职业特殊性和满足军队需要，进一步加强军队医师对军事医学知识与技能的学习和运用，更好地履行神圣使命，根据原卫生部医师资格考试委员会第15号《公告》精神和上述要求，制定《</w:t>
      </w:r>
      <w:r>
        <w:rPr>
          <w:rFonts w:hint="eastAsia" w:ascii="Times New Roman" w:hAnsi="宋体" w:cs="Times New Roman"/>
        </w:rPr>
        <w:t>执业</w:t>
      </w:r>
      <w:r>
        <w:rPr>
          <w:rFonts w:ascii="Times New Roman" w:hAnsi="宋体" w:cs="Times New Roman"/>
        </w:rPr>
        <w:t>医师资格军事医学考试大纲》，用于指导专家命题和考生备考。</w:t>
      </w:r>
    </w:p>
    <w:p>
      <w:pPr>
        <w:spacing w:line="520" w:lineRule="exact"/>
        <w:ind w:firstLine="420" w:firstLineChars="200"/>
        <w:rPr>
          <w:rFonts w:ascii="Times New Roman" w:hAnsi="宋体" w:cs="Times New Roman"/>
          <w:sz w:val="32"/>
          <w:szCs w:val="32"/>
        </w:rPr>
      </w:pPr>
      <w:r>
        <w:rPr>
          <w:rFonts w:ascii="Times New Roman" w:hAnsi="宋体" w:cs="Times New Roman"/>
        </w:rPr>
        <w:t>本大纲自2024年起施行。</w:t>
      </w:r>
    </w:p>
    <w:p>
      <w:pPr>
        <w:widowControl/>
        <w:jc w:val="center"/>
        <w:outlineLvl w:val="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br w:type="page"/>
      </w:r>
    </w:p>
    <w:p>
      <w:pPr>
        <w:widowControl/>
        <w:jc w:val="center"/>
        <w:outlineLvl w:val="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jc w:val="center"/>
        <w:rPr>
          <w:rFonts w:ascii="华文中宋" w:hAnsi="华文中宋" w:eastAsia="华文中宋"/>
          <w:sz w:val="52"/>
          <w:szCs w:val="52"/>
        </w:rPr>
      </w:pPr>
      <w:r>
        <w:rPr>
          <w:rFonts w:ascii="华文中宋" w:hAnsi="华文中宋" w:eastAsia="华文中宋"/>
          <w:sz w:val="52"/>
          <w:szCs w:val="52"/>
        </w:rPr>
        <w:t>目录</w:t>
      </w:r>
    </w:p>
    <w:p>
      <w:pPr>
        <w:jc w:val="center"/>
        <w:rPr>
          <w:rFonts w:ascii="华文中宋" w:hAnsi="华文中宋" w:eastAsia="华文中宋"/>
          <w:sz w:val="22"/>
          <w:szCs w:val="22"/>
        </w:rPr>
      </w:pPr>
    </w:p>
    <w:sdt>
      <w:sdtPr>
        <w:rPr>
          <w:lang w:val="zh-CN"/>
        </w:rPr>
        <w:id w:val="-21306954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Cs/>
          <w:lang w:val="zh-CN"/>
        </w:rPr>
      </w:sdtEndPr>
      <w:sdtContent>
        <w:p>
          <w:pPr>
            <w:pStyle w:val="7"/>
            <w:tabs>
              <w:tab w:val="right" w:leader="dot" w:pos="8296"/>
            </w:tabs>
            <w:rPr>
              <w:rFonts w:ascii="Times New Roman" w:hAnsi="Times New Roman" w:cs="Times New Roman" w:eastAsiaTheme="minorEastAsia"/>
              <w:szCs w:val="22"/>
            </w:rPr>
          </w:pP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fldChar w:fldCharType="begin"/>
          </w:r>
          <w:r>
            <w:instrText xml:space="preserve"> HYPERLINK \l "_Toc146623596"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 w:eastAsiaTheme="minorEastAsia"/>
            </w:rPr>
            <w:t>一、卫生勤务学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_Toc146623596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1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Times New Roman" w:hAnsi="Times New Roman" w:cs="Times New Roman" w:eastAsiaTheme="minorEastAsia"/>
              <w:szCs w:val="22"/>
            </w:rPr>
          </w:pPr>
          <w:r>
            <w:fldChar w:fldCharType="begin"/>
          </w:r>
          <w:r>
            <w:instrText xml:space="preserve"> HYPERLINK \l "_Toc146623597"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 w:eastAsiaTheme="minorEastAsia"/>
            </w:rPr>
            <w:t>二、核、化、生武器损伤防治学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_Toc146623597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3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Times New Roman" w:hAnsi="Times New Roman" w:cs="Times New Roman" w:eastAsiaTheme="minorEastAsia"/>
              <w:szCs w:val="22"/>
            </w:rPr>
          </w:pPr>
          <w:r>
            <w:fldChar w:fldCharType="begin"/>
          </w:r>
          <w:r>
            <w:instrText xml:space="preserve"> HYPERLINK \l "_Toc146623598"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 w:eastAsiaTheme="minorEastAsia"/>
            </w:rPr>
            <w:t>三、军队卫生学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_Toc146623598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7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Times New Roman" w:hAnsi="Times New Roman" w:cs="Times New Roman" w:eastAsiaTheme="minorEastAsia"/>
              <w:szCs w:val="22"/>
            </w:rPr>
          </w:pPr>
          <w:r>
            <w:fldChar w:fldCharType="begin"/>
          </w:r>
          <w:r>
            <w:instrText xml:space="preserve"> HYPERLINK \l "_Toc146623599" </w:instrText>
          </w:r>
          <w:r>
            <w:fldChar w:fldCharType="separate"/>
          </w:r>
          <w:r>
            <w:rPr>
              <w:rStyle w:val="12"/>
              <w:rFonts w:ascii="Times New Roman" w:hAnsi="Times New Roman" w:cs="Times New Roman" w:eastAsiaTheme="minorEastAsia"/>
            </w:rPr>
            <w:t>四、军队流行病学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_Toc146623599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8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 w:eastAsiaTheme="minorEastAsia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Times New Roman" w:hAnsi="Times New Roman" w:eastAsia="仿宋_GB2312" w:cs="Times New Roman"/>
          <w:sz w:val="32"/>
          <w:szCs w:val="32"/>
        </w:rPr>
        <w:sectPr>
          <w:footerReference r:id="rId6" w:type="default"/>
          <w:type w:val="continuous"/>
          <w:pgSz w:w="11906" w:h="16838"/>
          <w:pgMar w:top="1440" w:right="1800" w:bottom="1440" w:left="1800" w:header="851" w:footer="8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eastAsia="仿宋_GB2312" w:cs="Times New Roman"/>
          <w:sz w:val="32"/>
          <w:szCs w:val="32"/>
        </w:rPr>
        <w:br w:type="page"/>
      </w:r>
    </w:p>
    <w:tbl>
      <w:tblPr>
        <w:tblStyle w:val="10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89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50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bookmarkStart w:id="0" w:name="_Toc146623596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一、卫生勤务学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02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单  元</w:t>
            </w:r>
          </w:p>
        </w:tc>
        <w:tc>
          <w:tcPr>
            <w:tcW w:w="2893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细  目</w:t>
            </w:r>
          </w:p>
        </w:tc>
        <w:tc>
          <w:tcPr>
            <w:tcW w:w="4111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一、绪论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（1）卫生勤务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（2）卫勤保障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（3）卫生勤务学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2．卫生勤务的组织体系、基本任务和主要工作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（1）卫生勤务的组织体系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二、军队卫生防疫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（1）工作特点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2．卫生防疫工作的任务、内容与程序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（3）工作程序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三、军队医疗保健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（1）组织体制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2．医疗工作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（1）门（急）诊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（2）收容治疗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3．保健工作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（1）健康检查与健康观察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（2）体格检查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（3）健康鉴定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（4）疗养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（5）干部保健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（6）伤残评定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四、军队卫生物资保障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2．战时药材分类及药材保障标准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（1）战救药材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（2）战时常备药材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（3）基本医疗装备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3．药材的预算、筹措及储备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（1）药材预算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（2）药材筹措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（3）药材储备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4．药材补给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（1）补给方式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（2）补给实施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5．野战卫生装备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五、卫生战备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1．经常性的卫生战备工作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（1）卫生战备组织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（2）卫生战备制度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（3）卫生战备物资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（4）卫生战备训练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2．临战准备时卫生战备工作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（1）工作程序和主要内容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3．卫生战备预案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（1）预案的种类和内容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（2）预案的制定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（3）预案的形式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六、卫生减员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1．减员的概念与区分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（1）总减员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（2）战斗减员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（3）非战斗减员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（4）卫生减员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2．减员分析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（1）战伤减员分析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（2）阵亡分析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（3）疾病减员分析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3．卫生减员预计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（1）影响战斗减员的因素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（2）常规武器战伤减员预计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（3）疾病减员预计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七、伤病员医疗后送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（2）医疗后送体制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（3）医疗后送体制发展演变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（4）我军现行医疗后送体制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2．伤病员分类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（1）意义和目的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（3）基本要求和措施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（4）分类标识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3．伤病员分级救治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（2）救治种类和范围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4．伤病员后送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（2）后送方式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（3）后送工具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（4）后送的组织与要求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5．医疗后送文书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（1）伤票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（2）野战病历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（3）医疗后送文件袋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（4）战时伤病员登记簿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八、卫勤组织指挥</w:t>
            </w:r>
          </w:p>
        </w:tc>
        <w:tc>
          <w:tcPr>
            <w:tcW w:w="2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1．概念、程序和内容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（2）战斗准备阶段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（3）战斗实施阶段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（4）战斗结束后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2．卫勤保障计划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（4）拟订步骤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3．卫勤人力物力需要量的预计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（1）手术力量的预计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（2）卫生运力的计算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top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（3）卫生物资需要量的预计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九、非战争军事行动卫勤保障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1．灾害医学救援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（2）组织形式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2．维和行动卫勤保障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十、战伤救治要点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1．基本技术要点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（1）出血控制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（2）气道开通与呼吸维持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（3）包扎、固定与搬运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（4）生命支持与急救处理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（5）感染防治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（6）休克防治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2．特殊类型战伤救治要点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（1）挤压伤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（2）冲击伤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（3）烧伤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（4）冻伤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（5）淹溺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89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（6）虫、蛇咬蛰伤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06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 w:eastAsiaTheme="minorEastAsia"/>
                <w:kern w:val="0"/>
              </w:rPr>
            </w:pPr>
            <w:bookmarkStart w:id="1" w:name="_Toc146623597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二、核、化、生武器损伤防治学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单  元</w:t>
            </w:r>
          </w:p>
        </w:tc>
        <w:tc>
          <w:tcPr>
            <w:tcW w:w="2893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细  目</w:t>
            </w:r>
          </w:p>
        </w:tc>
        <w:tc>
          <w:tcPr>
            <w:tcW w:w="4111" w:type="dxa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一、核物理基础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辐射量及其单位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（1）放射性活度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（2）吸收剂量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（3）当量剂量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（4）有效剂量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二、电离辐射生物学效应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1．电离辐射对DNA和染色体的作用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（1）电离辐射对DNA的作用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（2）染色体畸变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2．电离辐射对细胞和组织器官的作用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（1）细胞辐射敏感性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（2）组织器官辐射敏感性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三、核武器的杀伤作用及其防护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1．杀伤因素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（1）光辐射致伤特点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（2）冲击波致伤特点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（3）早期核辐射致伤特点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（4）放射性沾染致伤特点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2．防护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（1）瞬时杀伤因素防护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（2）放射性沾染防护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（3）战时剂量控制限值：</w:t>
            </w:r>
            <w:r>
              <w:rPr>
                <w:rFonts w:ascii="Times New Roman" w:hAnsi="Times New Roman" w:cs="Times New Roman" w:eastAsiaTheme="minorEastAsia"/>
                <w:szCs w:val="22"/>
              </w:rPr>
              <w:t>战时γ射线全身外照射控制量；放射性落下灰在人体和物体表面沾染程度控制值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四、放射损伤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1．急性放射病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（1）概念、分型、分度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（2）中重度骨髓型急性放射病的主要临床特点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（3）早期病情分类诊断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（4）中重度骨髓型急性放射病治疗原则、常用抗放药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（5）肠型放射病临床特点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2．内照射放射损伤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（2）放射性核素在体内的代谢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（3）内照射损伤临床特点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（4）治疗原则、核武器爆炸常用促排剂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3．复合伤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（1）概念、伤类与伤情分度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（2）放射复合伤临床特点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（3）治疗原则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4．皮肤放射损伤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皮肤急性放射损伤的分期与分度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5．电离辐射的远后效应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电离辐射的常见远后效应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五、放射卫生防护基础</w:t>
            </w:r>
          </w:p>
        </w:tc>
        <w:tc>
          <w:tcPr>
            <w:tcW w:w="2893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1．概述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放射防护基本原则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2．防护标准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（1）国家标准中的年剂量限值和应急照射限值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（2）国家标准规定的表面污染限值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3．放射卫生防护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（1）外照射防护基本原则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（2）内照射防护基本原则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六、核辐射事故医学应急处置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医学应急处置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（1）人员的主要防护措施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（2）国际核事故与核事件的分级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（3）我国医疗救治体系的分级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七、化学武器概论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1．基本概念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（1）化学武器的概念和分类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（2）化学战剂的概念和分类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2．化学武器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（1）袭击方式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（2）战斗状态及其伤害形式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（4）效应的影响因素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3．化学武器损伤的防护原则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（1）预防原则和措施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（2）诊断原则和方法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（3）救治原则和措施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八、化学战剂中毒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1．神经性毒剂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（1）概述：理化性质及中毒途径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（2）中毒机制：对胆碱酯酶的抑制作用与中毒酶转归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（3）临床表现与分度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（6）急救和治疗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2．糜烂性毒剂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（1）概述：理化性质和中毒途径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（2）中毒机制：芥子气对DNA的损伤作用；路易氏剂对巯基酶的抑制作用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（3）临床表现：皮肤、眼、呼吸道损伤；全身吸收中毒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（6）急救和治疗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3．全身中毒性毒剂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（1）概述：理化性质和中毒途径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（2）中毒机制：对细胞色素氧化酶的抑制作用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（3）临床表现：中毒分型、分度和分期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（6）急救和治疗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4．窒息性毒剂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（1）概述：理化性质和中毒途径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（2）中毒机制：酸烧伤理论、酰化理论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（3）临床表现：中毒分型、分度和分期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（6）急救和治疗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5．失能性毒剂（毕兹）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（1）概述：理化性质和中毒途径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（2）中毒机制：对胆碱能受体的阻断作用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（3）临床表现与分期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（5）急救和治疗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6．刺激剂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（1）概述：理化性质和中毒途径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（2）临床表现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（4）预防和急救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7．中间谱系战剂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（1）概念与分类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（2）几种典型毒素的中毒特点及救治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8．军事相关毒物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（2）肼类毒物的中毒特点及救治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九、化学武器损伤的医学防护</w:t>
            </w: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1．毒剂防护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（1）防护器材种类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（2）个人防护器材的性能和对人体的生理影响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2．毒剂侦检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（1）侦检的原理和方法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（2）主要侦检器材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3．毒剂消除</w:t>
            </w:r>
          </w:p>
        </w:tc>
        <w:tc>
          <w:tcPr>
            <w:tcW w:w="4111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（1）洗消的原理和方法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（2）常用消毒剂、消毒方法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十、突发化学事件医学应急处置</w:t>
            </w:r>
          </w:p>
        </w:tc>
        <w:tc>
          <w:tcPr>
            <w:tcW w:w="2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1．基本概念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（1）突发化学事件及其分类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（2）突发化学事件的应急医学救援体系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2．医学应急处置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（1）现场抢救的原则与措施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（2）早期救治的原则与措施</w:t>
            </w:r>
          </w:p>
        </w:tc>
      </w:tr>
    </w:tbl>
    <w:tbl>
      <w:tblPr>
        <w:tblStyle w:val="9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3"/>
        <w:gridCol w:w="2894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十一、生物武器概述</w:t>
            </w:r>
          </w:p>
        </w:tc>
        <w:tc>
          <w:tcPr>
            <w:tcW w:w="289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1．基本概念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（1）生物战剂的概念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（2）生物武器的概念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（3）生物战的概念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（4）生物恐怖的概念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2．分类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（1）根据军事效能的分类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（2）根据微生物学的分类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3．施放方式和侵入途径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（1）施放方式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（2）侵入途径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4．特点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（1）危害性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（2）弱点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5．发展趋势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基因武器的特点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十二、生物武器攻击的侦检</w:t>
            </w: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1．非仪器侦查方式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（1）生物武器攻击时的可疑情况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（2）现场调查方法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2．生物战剂的采样与检验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（1）标本采集和运送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01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十三、生物武器防护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1．防护原则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防护原则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2．物理防护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（1）个人防护方法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（2）集体防护方法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3．免疫防护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（1）接种种类和时机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（2）接种方法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4．药物预防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（1）预防对象和内容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（2）预防原则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十四、污染区和疫区的划定与处理</w:t>
            </w: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1．生物战剂污染区和疫区的划定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（1）污染区的概念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（2）气溶胶所致污染区和疫区的划定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2．生物战剂污染区的处置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（2）隔离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3．污染区和疫区的洗消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（1）消毒的原则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（2）消毒方法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十五、生物战伤亡人员的处理</w:t>
            </w: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1．一般处理方法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（1）隔离的类型和措施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（2）感染后预防性治疗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2．特殊处理措施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（1）生物战伤亡人员的消毒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（2）特殊治疗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（3）伤亡人员污染物的处理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（4）大量伤员的处理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十六、生物战剂各论</w:t>
            </w: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1．细菌类战剂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（1）炭疽芽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2"/>
                <w:szCs w:val="22"/>
              </w:rPr>
              <w:t>胞</w:t>
            </w: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杆菌：所致疾病的流行病学特征、临床特征、治疗、预防措施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（2）鼠疫耶尔森菌：所致疾病的流行病学特征、临床特征、治疗、预防措施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（3）土拉费氏杆菌：所致疾病的流行病学特征、临床特征、治疗、预防措施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2．立克次体类战剂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Q热立克次体：所致疾病的流行病学特征、临床特征、治疗、预防措施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3．病毒类战剂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（1）天花病毒：所致疾病的流行病学特征、临床特征、治疗、预防措施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（2）黄热病毒：所致疾病的流行病学特征、临床特征、治疗、预防措施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（3）拉沙病毒：所致疾病的流行病学特征、临床特征、治疗、预防措施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（4）埃博拉病毒：所致疾病的流行病学特征、临床特征、治疗、预防措施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01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4．毒素类战剂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</w:rPr>
              <w:t>肉毒杆菌毒素：所致疾病的流行病学特征、临床特征、治疗、预防措施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506" w:type="dxa"/>
            <w:gridSpan w:val="4"/>
            <w:tcBorders>
              <w:left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br w:type="page"/>
            </w:r>
            <w:bookmarkStart w:id="2" w:name="_Toc146623598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三、军队卫生学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单  元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细  目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一、绪论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基本概念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（1）军队卫生学的定义与任务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（2）军队卫生</w:t>
            </w:r>
            <w:r>
              <w:rPr>
                <w:rFonts w:ascii="Times New Roman" w:hAnsi="Times New Roman" w:cs="Times New Roman"/>
                <w:color w:val="000000" w:themeColor="text1"/>
              </w:rPr>
              <w:t>监测和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监督的目的、意义和任务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二、军队环境卫生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1．气象和大气卫生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（1）紫外线损伤与防护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（2）红外线损伤与防护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（3）气象因素对军人健康综合影响、评价与防护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2．军队给水卫生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（1）水源卫生侦察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（2）军队常见介水传染病的危害、预防及控制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（3）军队战时饮用水卫生标准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（4）野外水质检验与改善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（5）野战及特殊条件下给水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3．阵地、坑道、密闭环境与野外驻训卫生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（1）战场尸体处理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（2）军事密闭环境、坑道有害因素的危害、监测与防护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（3）野外驻训卫生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三、军队营养与食品卫生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1．军人营养需要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（1）军人能量消耗监测与评价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（2）军人膳食营养素供给量标准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（3）军人食物定量标准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（4）军人合理膳食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（5）军人营养状况评价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2．特殊环境军事作业营养保障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（1）热环境作业营养保障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（2）寒冷环境作业营养保障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（3）高原低氧环境营养保障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3．军事特种作业营养保障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（1）低照度作业营养保障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（2）超强体力劳动作业营养保障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（3）辐射条件下营养保障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（4）航空航天营养保障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（5）航海与潜水营养保障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4．军用食品与野战供膳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（1）军用食品分类及其营养标准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（2）野战供膳基本要求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5．军队食品安全保障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（1）食品安全快速检测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（2）核、化、生条件下食品安全保障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四、军队劳动卫生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1．军事劳动生理与训练卫生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（1）军事体力劳动强度分级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（2）军人作业能力综合评价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（3）军事作业疲劳判定和预防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（4）提高军事作业能力的措施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（5）军事训练伤及其防护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2．特殊环境军事作业健康危害与卫生防护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（1）热环境对机体的影响及防护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（2）寒冷环境对机体的影响及防护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（3）高原低氧对机体的影响及防护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3．军兵种和特殊作业卫生保障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（1）航空航天作业卫生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（2）航海作业卫生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（3）火箭军作业卫生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（4）炮兵作业卫生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（5）坦克兵作业卫生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（6）雷达和电子对抗作业卫生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</w:trPr>
        <w:tc>
          <w:tcPr>
            <w:tcW w:w="8506" w:type="dxa"/>
            <w:gridSpan w:val="4"/>
            <w:tcBorders>
              <w:left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仿宋_GB2312" w:cs="Times New Roman"/>
                <w:sz w:val="32"/>
                <w:szCs w:val="32"/>
              </w:rPr>
              <w:br w:type="page"/>
            </w:r>
            <w:bookmarkStart w:id="3" w:name="_Toc146623599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四、军队流行病学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</w:trPr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单  元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细  目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一、绪论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1．概述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2．内容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（1）部队常见疾病的分布特点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（2）部队重要传染病的流行规律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（3）部队常见病、多发病的病因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（4）突发灾害性事件的卫生流行病学保障与研究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（5）疾病预防措施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（6）生物武器的防护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3．发展趋势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未来发展方向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二、部队疾病预防策略与措施</w:t>
            </w: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1．预防策略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（1）部队疾病预防的特点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（2）部队疾病防制的原则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（3）部队疾病预防的策略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（4）部队非战争军事行动相关疾病的预防特点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2．传染病的预防措施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（1）部队传染源的管理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（2）切断传播途径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（3）保护易感人群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（4）战时传染病的预防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3．军队卫生流行病学侦察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（1）定义、目的、意义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（2）种类和内容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（3）方法和要求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4．军队疾病监测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（1）定义、目的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（2）军队疾病监测系统及作用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三、部队突发公共卫生事件流行病学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1．突发公共卫生事件概述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定义、特点、分类和分级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2．突发公共卫生事件应对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（1）原则、监测、预警和报告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（2）响应机构、措施和终止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3．暴发调查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（1）定义和目的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（2）适用范围和条件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（3）调查方法与步骤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四、自然疫源性疾病</w:t>
            </w: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1．自然疫源性疾病概述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概念、种类和特点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2．自然疫源地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概念、要素、类型、景观及景观流行病学特点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3．自然疫源性疾病的防制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总体原则和防制措施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4．新发自然疫源性疾病及作为生物战剂的新兴病原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（1）人感染高致病性禽流感、埃博拉出血热等疾病的流行病学特点和预防措施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977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（2）尼帕病毒、汉坦病毒、蜱传出血热病毒</w:t>
            </w:r>
          </w:p>
        </w:tc>
      </w:tr>
    </w:tbl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headerReference r:id="rId7" w:type="first"/>
      <w:footerReference r:id="rId9" w:type="first"/>
      <w:footerReference r:id="rId8" w:type="default"/>
      <w:type w:val="continuous"/>
      <w:pgSz w:w="11906" w:h="16838"/>
      <w:pgMar w:top="1440" w:right="1800" w:bottom="1440" w:left="1800" w:header="851" w:footer="88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altName w:val="方正宋体S-超大字符集(SIP)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altName w:val="汉仪中宋简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7339600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6</w:t>
    </w:r>
    <w:r>
      <w:rPr>
        <w:rFonts w:ascii="Times New Roman" w:hAnsi="Times New Roma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2FD"/>
    <w:rsid w:val="00000D59"/>
    <w:rsid w:val="000073A4"/>
    <w:rsid w:val="00010466"/>
    <w:rsid w:val="00010E3B"/>
    <w:rsid w:val="00011052"/>
    <w:rsid w:val="00017B34"/>
    <w:rsid w:val="000351E5"/>
    <w:rsid w:val="000454E5"/>
    <w:rsid w:val="00046D79"/>
    <w:rsid w:val="000661C4"/>
    <w:rsid w:val="00081944"/>
    <w:rsid w:val="00090443"/>
    <w:rsid w:val="00090791"/>
    <w:rsid w:val="00093183"/>
    <w:rsid w:val="00097604"/>
    <w:rsid w:val="000A379F"/>
    <w:rsid w:val="000A5E2A"/>
    <w:rsid w:val="000A6B24"/>
    <w:rsid w:val="000B5C71"/>
    <w:rsid w:val="000C2CD1"/>
    <w:rsid w:val="000D16E6"/>
    <w:rsid w:val="000E2207"/>
    <w:rsid w:val="000E22B8"/>
    <w:rsid w:val="00100AF8"/>
    <w:rsid w:val="00103337"/>
    <w:rsid w:val="00114711"/>
    <w:rsid w:val="00155476"/>
    <w:rsid w:val="001639C7"/>
    <w:rsid w:val="00173A1F"/>
    <w:rsid w:val="00174684"/>
    <w:rsid w:val="00181D49"/>
    <w:rsid w:val="0019181A"/>
    <w:rsid w:val="001939F0"/>
    <w:rsid w:val="001A47FD"/>
    <w:rsid w:val="001A5508"/>
    <w:rsid w:val="001A7932"/>
    <w:rsid w:val="001B10C8"/>
    <w:rsid w:val="001B3D30"/>
    <w:rsid w:val="001E0A71"/>
    <w:rsid w:val="001F007E"/>
    <w:rsid w:val="001F79A0"/>
    <w:rsid w:val="002124F5"/>
    <w:rsid w:val="0021454A"/>
    <w:rsid w:val="002206D2"/>
    <w:rsid w:val="00222868"/>
    <w:rsid w:val="00231E20"/>
    <w:rsid w:val="0023285B"/>
    <w:rsid w:val="002343C5"/>
    <w:rsid w:val="002447EF"/>
    <w:rsid w:val="002502DA"/>
    <w:rsid w:val="0026460B"/>
    <w:rsid w:val="002B5BB4"/>
    <w:rsid w:val="002B6502"/>
    <w:rsid w:val="002B6A3C"/>
    <w:rsid w:val="002B6FF8"/>
    <w:rsid w:val="002C659D"/>
    <w:rsid w:val="002C731B"/>
    <w:rsid w:val="00301BA3"/>
    <w:rsid w:val="00312AF6"/>
    <w:rsid w:val="00331BCE"/>
    <w:rsid w:val="00341773"/>
    <w:rsid w:val="003420A8"/>
    <w:rsid w:val="00345187"/>
    <w:rsid w:val="00345AD0"/>
    <w:rsid w:val="0037666F"/>
    <w:rsid w:val="00377B33"/>
    <w:rsid w:val="00383BFB"/>
    <w:rsid w:val="003845B0"/>
    <w:rsid w:val="003A6CBF"/>
    <w:rsid w:val="003B1F10"/>
    <w:rsid w:val="003B2B07"/>
    <w:rsid w:val="003C0441"/>
    <w:rsid w:val="003C0DFE"/>
    <w:rsid w:val="003C3B16"/>
    <w:rsid w:val="003C581F"/>
    <w:rsid w:val="003D695D"/>
    <w:rsid w:val="003E037B"/>
    <w:rsid w:val="00410F0A"/>
    <w:rsid w:val="004232DC"/>
    <w:rsid w:val="004312C7"/>
    <w:rsid w:val="00437E21"/>
    <w:rsid w:val="004478A0"/>
    <w:rsid w:val="0045325F"/>
    <w:rsid w:val="004573BA"/>
    <w:rsid w:val="00464647"/>
    <w:rsid w:val="004667AA"/>
    <w:rsid w:val="00471825"/>
    <w:rsid w:val="00471EE6"/>
    <w:rsid w:val="00472135"/>
    <w:rsid w:val="00475703"/>
    <w:rsid w:val="00475F8E"/>
    <w:rsid w:val="00480B8F"/>
    <w:rsid w:val="0048304D"/>
    <w:rsid w:val="00496D04"/>
    <w:rsid w:val="004A7910"/>
    <w:rsid w:val="004B724C"/>
    <w:rsid w:val="004C3977"/>
    <w:rsid w:val="004C6B8C"/>
    <w:rsid w:val="004D65A3"/>
    <w:rsid w:val="004E41E2"/>
    <w:rsid w:val="004F1B5C"/>
    <w:rsid w:val="0050360B"/>
    <w:rsid w:val="005146A9"/>
    <w:rsid w:val="00524B7A"/>
    <w:rsid w:val="00541570"/>
    <w:rsid w:val="005437FA"/>
    <w:rsid w:val="00551B5F"/>
    <w:rsid w:val="00562806"/>
    <w:rsid w:val="00565239"/>
    <w:rsid w:val="00565D5E"/>
    <w:rsid w:val="005907E1"/>
    <w:rsid w:val="005A1343"/>
    <w:rsid w:val="005A7F22"/>
    <w:rsid w:val="005B1F39"/>
    <w:rsid w:val="005B2C19"/>
    <w:rsid w:val="005B7808"/>
    <w:rsid w:val="005D0BA2"/>
    <w:rsid w:val="005E4BEB"/>
    <w:rsid w:val="005E6A2E"/>
    <w:rsid w:val="005F130F"/>
    <w:rsid w:val="005F5183"/>
    <w:rsid w:val="0060097B"/>
    <w:rsid w:val="00607144"/>
    <w:rsid w:val="006130D1"/>
    <w:rsid w:val="0061386E"/>
    <w:rsid w:val="00613BDF"/>
    <w:rsid w:val="006256C8"/>
    <w:rsid w:val="00632504"/>
    <w:rsid w:val="0064182A"/>
    <w:rsid w:val="00642263"/>
    <w:rsid w:val="00643FA4"/>
    <w:rsid w:val="00644E69"/>
    <w:rsid w:val="00646DA1"/>
    <w:rsid w:val="00664164"/>
    <w:rsid w:val="006668E5"/>
    <w:rsid w:val="00680C22"/>
    <w:rsid w:val="00681213"/>
    <w:rsid w:val="00681C30"/>
    <w:rsid w:val="006A68F3"/>
    <w:rsid w:val="006B5F59"/>
    <w:rsid w:val="006C32CA"/>
    <w:rsid w:val="006C6E85"/>
    <w:rsid w:val="006C79B9"/>
    <w:rsid w:val="006D2104"/>
    <w:rsid w:val="006F196A"/>
    <w:rsid w:val="00702EAA"/>
    <w:rsid w:val="007038F6"/>
    <w:rsid w:val="00715BEA"/>
    <w:rsid w:val="007262FD"/>
    <w:rsid w:val="00734370"/>
    <w:rsid w:val="00745AF8"/>
    <w:rsid w:val="007722FE"/>
    <w:rsid w:val="00786E80"/>
    <w:rsid w:val="00797306"/>
    <w:rsid w:val="007A0BB7"/>
    <w:rsid w:val="007B130B"/>
    <w:rsid w:val="007B2E22"/>
    <w:rsid w:val="007B7142"/>
    <w:rsid w:val="007C2483"/>
    <w:rsid w:val="007D06FC"/>
    <w:rsid w:val="007D7C5C"/>
    <w:rsid w:val="007E653E"/>
    <w:rsid w:val="007E6DBB"/>
    <w:rsid w:val="007F122F"/>
    <w:rsid w:val="007F56D7"/>
    <w:rsid w:val="00803C86"/>
    <w:rsid w:val="0080465B"/>
    <w:rsid w:val="00807AE9"/>
    <w:rsid w:val="00825BF8"/>
    <w:rsid w:val="00830259"/>
    <w:rsid w:val="00833383"/>
    <w:rsid w:val="00852A68"/>
    <w:rsid w:val="00853BA9"/>
    <w:rsid w:val="00855577"/>
    <w:rsid w:val="00855F7D"/>
    <w:rsid w:val="00860A79"/>
    <w:rsid w:val="00863C7B"/>
    <w:rsid w:val="008650D4"/>
    <w:rsid w:val="00866CA0"/>
    <w:rsid w:val="00883E23"/>
    <w:rsid w:val="008937FF"/>
    <w:rsid w:val="008A3131"/>
    <w:rsid w:val="008A5103"/>
    <w:rsid w:val="008B0C88"/>
    <w:rsid w:val="008B2EA5"/>
    <w:rsid w:val="008C0BE3"/>
    <w:rsid w:val="008C455B"/>
    <w:rsid w:val="008D7FBF"/>
    <w:rsid w:val="008F0EB9"/>
    <w:rsid w:val="008F323A"/>
    <w:rsid w:val="008F3357"/>
    <w:rsid w:val="008F4681"/>
    <w:rsid w:val="008F7C26"/>
    <w:rsid w:val="00910308"/>
    <w:rsid w:val="00916E84"/>
    <w:rsid w:val="009258A2"/>
    <w:rsid w:val="0092661B"/>
    <w:rsid w:val="00927EDE"/>
    <w:rsid w:val="0093255D"/>
    <w:rsid w:val="00933EF1"/>
    <w:rsid w:val="0094410E"/>
    <w:rsid w:val="009463A5"/>
    <w:rsid w:val="0095095E"/>
    <w:rsid w:val="009509FD"/>
    <w:rsid w:val="00951E0C"/>
    <w:rsid w:val="0095566C"/>
    <w:rsid w:val="00961AC0"/>
    <w:rsid w:val="00970022"/>
    <w:rsid w:val="00972AFF"/>
    <w:rsid w:val="009844A7"/>
    <w:rsid w:val="009B27E9"/>
    <w:rsid w:val="009B458C"/>
    <w:rsid w:val="009B7FAD"/>
    <w:rsid w:val="009C0396"/>
    <w:rsid w:val="009C39A2"/>
    <w:rsid w:val="009C7D14"/>
    <w:rsid w:val="009D1BA8"/>
    <w:rsid w:val="009D2D85"/>
    <w:rsid w:val="009D3610"/>
    <w:rsid w:val="009D5A29"/>
    <w:rsid w:val="009E2385"/>
    <w:rsid w:val="009E27E1"/>
    <w:rsid w:val="009F5478"/>
    <w:rsid w:val="009F7004"/>
    <w:rsid w:val="00A004E6"/>
    <w:rsid w:val="00A0160A"/>
    <w:rsid w:val="00A06D10"/>
    <w:rsid w:val="00A154DF"/>
    <w:rsid w:val="00A26480"/>
    <w:rsid w:val="00A331FA"/>
    <w:rsid w:val="00A40D75"/>
    <w:rsid w:val="00A54448"/>
    <w:rsid w:val="00A66054"/>
    <w:rsid w:val="00A845DE"/>
    <w:rsid w:val="00A84BB4"/>
    <w:rsid w:val="00AA0622"/>
    <w:rsid w:val="00AA5148"/>
    <w:rsid w:val="00AA674B"/>
    <w:rsid w:val="00AB5241"/>
    <w:rsid w:val="00AB55AB"/>
    <w:rsid w:val="00AB68BD"/>
    <w:rsid w:val="00AC371A"/>
    <w:rsid w:val="00AD12B6"/>
    <w:rsid w:val="00AD6924"/>
    <w:rsid w:val="00AE6C7B"/>
    <w:rsid w:val="00AF4DA0"/>
    <w:rsid w:val="00B01EBA"/>
    <w:rsid w:val="00B203E6"/>
    <w:rsid w:val="00B26ECA"/>
    <w:rsid w:val="00B315D5"/>
    <w:rsid w:val="00B377BE"/>
    <w:rsid w:val="00B469AB"/>
    <w:rsid w:val="00B47F18"/>
    <w:rsid w:val="00B525F0"/>
    <w:rsid w:val="00B73FA2"/>
    <w:rsid w:val="00BA13FA"/>
    <w:rsid w:val="00BA3914"/>
    <w:rsid w:val="00BB5D3E"/>
    <w:rsid w:val="00BC5FED"/>
    <w:rsid w:val="00BF64B6"/>
    <w:rsid w:val="00BF6F8D"/>
    <w:rsid w:val="00C02D4F"/>
    <w:rsid w:val="00C07FA9"/>
    <w:rsid w:val="00C12AC6"/>
    <w:rsid w:val="00C1341D"/>
    <w:rsid w:val="00C167E3"/>
    <w:rsid w:val="00C22DAB"/>
    <w:rsid w:val="00C250CD"/>
    <w:rsid w:val="00C3042A"/>
    <w:rsid w:val="00C41570"/>
    <w:rsid w:val="00C466D2"/>
    <w:rsid w:val="00C46FA7"/>
    <w:rsid w:val="00C53B77"/>
    <w:rsid w:val="00C57A3F"/>
    <w:rsid w:val="00C602F8"/>
    <w:rsid w:val="00C65496"/>
    <w:rsid w:val="00C70E44"/>
    <w:rsid w:val="00C711EE"/>
    <w:rsid w:val="00C71B3E"/>
    <w:rsid w:val="00C81343"/>
    <w:rsid w:val="00C81AA0"/>
    <w:rsid w:val="00C82BF0"/>
    <w:rsid w:val="00C95614"/>
    <w:rsid w:val="00CA5ACC"/>
    <w:rsid w:val="00CA6D68"/>
    <w:rsid w:val="00CC14C6"/>
    <w:rsid w:val="00CC22E9"/>
    <w:rsid w:val="00D04AB1"/>
    <w:rsid w:val="00D13AE5"/>
    <w:rsid w:val="00D17481"/>
    <w:rsid w:val="00D24D15"/>
    <w:rsid w:val="00D300F6"/>
    <w:rsid w:val="00D3647D"/>
    <w:rsid w:val="00D529D1"/>
    <w:rsid w:val="00D61B7F"/>
    <w:rsid w:val="00DA5F3D"/>
    <w:rsid w:val="00DA76FF"/>
    <w:rsid w:val="00DB74A2"/>
    <w:rsid w:val="00DE2B7F"/>
    <w:rsid w:val="00DE51D7"/>
    <w:rsid w:val="00DE5E47"/>
    <w:rsid w:val="00DE6006"/>
    <w:rsid w:val="00DE7455"/>
    <w:rsid w:val="00DF18DF"/>
    <w:rsid w:val="00DF37DA"/>
    <w:rsid w:val="00E01357"/>
    <w:rsid w:val="00E01CA2"/>
    <w:rsid w:val="00E07948"/>
    <w:rsid w:val="00E372ED"/>
    <w:rsid w:val="00E42949"/>
    <w:rsid w:val="00E45746"/>
    <w:rsid w:val="00E54762"/>
    <w:rsid w:val="00E54F59"/>
    <w:rsid w:val="00E850A7"/>
    <w:rsid w:val="00E856A9"/>
    <w:rsid w:val="00E95A79"/>
    <w:rsid w:val="00E96E34"/>
    <w:rsid w:val="00EA292C"/>
    <w:rsid w:val="00EA5E44"/>
    <w:rsid w:val="00EB0E66"/>
    <w:rsid w:val="00EB593A"/>
    <w:rsid w:val="00EB7F46"/>
    <w:rsid w:val="00ED3867"/>
    <w:rsid w:val="00ED4153"/>
    <w:rsid w:val="00EE47B4"/>
    <w:rsid w:val="00F11E5C"/>
    <w:rsid w:val="00F37852"/>
    <w:rsid w:val="00F567FB"/>
    <w:rsid w:val="00F71DEC"/>
    <w:rsid w:val="00F81474"/>
    <w:rsid w:val="00F94503"/>
    <w:rsid w:val="00F96EC6"/>
    <w:rsid w:val="00FA6FC8"/>
    <w:rsid w:val="00FC2C03"/>
    <w:rsid w:val="00FD1DD1"/>
    <w:rsid w:val="00FD4263"/>
    <w:rsid w:val="00FD4B01"/>
    <w:rsid w:val="00FF2387"/>
    <w:rsid w:val="00FF5089"/>
    <w:rsid w:val="0A36065A"/>
    <w:rsid w:val="35FF944D"/>
    <w:rsid w:val="37956A5A"/>
    <w:rsid w:val="7F8D7085"/>
    <w:rsid w:val="DFDE9E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qFormat/>
    <w:uiPriority w:val="99"/>
    <w:pPr>
      <w:jc w:val="left"/>
    </w:pPr>
    <w:rPr>
      <w:rFonts w:cs="Times New Roman"/>
    </w:rPr>
  </w:style>
  <w:style w:type="paragraph" w:styleId="4">
    <w:name w:val="Balloon Text"/>
    <w:basedOn w:val="1"/>
    <w:link w:val="18"/>
    <w:semiHidden/>
    <w:unhideWhenUsed/>
    <w:qFormat/>
    <w:uiPriority w:val="99"/>
    <w:rPr>
      <w:rFonts w:cs="Times New Roman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styleId="13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link w:val="6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5">
    <w:name w:val="页脚 字符"/>
    <w:link w:val="5"/>
    <w:qFormat/>
    <w:uiPriority w:val="99"/>
    <w:rPr>
      <w:rFonts w:ascii="Calibri" w:hAnsi="Calibri" w:eastAsia="宋体" w:cs="Calibri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Char Char Char Char Char Char Char Char Char Char Char Char Char Char Char Char"/>
    <w:basedOn w:val="1"/>
    <w:qFormat/>
    <w:uiPriority w:val="0"/>
    <w:rPr>
      <w:rFonts w:ascii="仿宋_GB2312" w:hAnsi="Times New Roman" w:cs="Times New Roman"/>
      <w:sz w:val="24"/>
      <w:szCs w:val="24"/>
    </w:rPr>
  </w:style>
  <w:style w:type="character" w:customStyle="1" w:styleId="18">
    <w:name w:val="批注框文本 字符"/>
    <w:link w:val="4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19">
    <w:name w:val="批注文字 字符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20">
    <w:name w:val="批注主题 字符"/>
    <w:link w:val="8"/>
    <w:semiHidden/>
    <w:qFormat/>
    <w:uiPriority w:val="99"/>
    <w:rPr>
      <w:rFonts w:cs="Calibri"/>
      <w:b/>
      <w:bCs/>
      <w:kern w:val="2"/>
      <w:sz w:val="21"/>
      <w:szCs w:val="21"/>
    </w:rPr>
  </w:style>
  <w:style w:type="character" w:customStyle="1" w:styleId="21">
    <w:name w:val="标题 1 字符"/>
    <w:basedOn w:val="11"/>
    <w:link w:val="2"/>
    <w:qFormat/>
    <w:uiPriority w:val="9"/>
    <w:rPr>
      <w:rFonts w:cs="Calibri"/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1052</Words>
  <Characters>6001</Characters>
  <Lines>50</Lines>
  <Paragraphs>14</Paragraphs>
  <TotalTime>212</TotalTime>
  <ScaleCrop>false</ScaleCrop>
  <LinksUpToDate>false</LinksUpToDate>
  <CharactersWithSpaces>7039</CharactersWithSpaces>
  <Application>WPS Office_11.8.2.10337_F1E327BC-269C-435d-A152-05C5408002CA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2013-02-22T06:59:00Z</dcterms:created>
  <dc:creator>luo</dc:creator>
  <cp:lastModifiedBy>yljgc03</cp:lastModifiedBy>
  <cp:lastPrinted>2023-09-26T21:41:00Z</cp:lastPrinted>
  <dcterms:modified xsi:type="dcterms:W3CDTF">2023-12-01T14:16:02Z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