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36"/>
          <w:szCs w:val="36"/>
        </w:rPr>
        <w:t xml:space="preserve">UC Davis School of Medicine</w:t>
      </w:r>
    </w:p>
    <w:p>
      <w:pPr>
        <w:spacing w:after="80" w:before="0"/>
      </w:pPr>
      <w:r>
        <w:rPr>
          <w:rFonts w:ascii="Arial" w:cs="Arial" w:eastAsia="Arial" w:hAnsi="Arial"/>
          <w:b/>
          <w:bCs/>
          <w:color w:val="1F4E79"/>
          <w:sz w:val="32"/>
          <w:szCs w:val="32"/>
        </w:rPr>
        <w:t xml:space="preserve">Basic Sciences Research Groups</w:t>
      </w:r>
    </w:p>
    <w:p>
      <w:pPr>
        <w:spacing w:after="200" w:before="0"/>
      </w:pPr>
      <w:r>
        <w:rPr>
          <w:rFonts w:ascii="Arial" w:cs="Arial" w:eastAsia="Arial" w:hAnsi="Arial"/>
          <w:color w:val="2E75B6"/>
          <w:sz w:val="26"/>
          <w:szCs w:val="26"/>
        </w:rPr>
        <w:t xml:space="preserve">SciVal Performance Metrics  |  2020 – 2024</w:t>
      </w:r>
    </w:p>
    <w:p>
      <w:pPr>
        <w:pBdr>
          <w:bottom w:val="single" w:color="2E75B6" w:sz="12" w:space="4"/>
        </w:pBdr>
        <w:spacing w:after="240" w:before="0"/>
      </w:pPr>
    </w:p>
    <w:p>
      <w:pPr>
        <w:spacing w:after="60" w:before="0"/>
      </w:pPr>
      <w:r>
        <w:rPr>
          <w:rFonts w:ascii="Arial" w:cs="Arial" w:eastAsia="Arial" w:hAnsi="Arial"/>
          <w:i/>
          <w:iCs/>
          <w:color w:val="595959"/>
          <w:sz w:val="20"/>
          <w:szCs w:val="20"/>
        </w:rPr>
        <w:t xml:space="preserve">Prepared by the Office of Basic Sciences Research Initiatives</w:t>
      </w:r>
    </w:p>
    <w:p>
      <w:pPr>
        <w:spacing w:after="400" w:before="0"/>
      </w:pPr>
      <w:r>
        <w:rPr>
          <w:rFonts w:ascii="Arial" w:cs="Arial" w:eastAsia="Arial" w:hAnsi="Arial"/>
          <w:color w:val="595959"/>
          <w:sz w:val="18"/>
          <w:szCs w:val="18"/>
        </w:rPr>
        <w:t xml:space="preserve">Data Source: SciVal (Elsevier)  •  Generated: March 2026</w:t>
      </w:r>
    </w:p>
    <w:p>
      <w:pPr>
        <w:spacing w:after="100" w:before="180"/>
        <w:jc w:val="left"/>
      </w:pPr>
      <w:r>
        <w:rPr>
          <w:rFonts w:ascii="Arial" w:cs="Arial" w:eastAsia="Arial" w:hAnsi="Arial"/>
          <w:b/>
          <w:bCs/>
          <w:color w:val="1F4E79"/>
          <w:sz w:val="24"/>
          <w:szCs w:val="24"/>
        </w:rPr>
        <w:t xml:space="preserve">Scope and Methodology</w:t>
      </w:r>
    </w:p>
    <w:p>
      <w:pPr>
        <w:spacing w:after="120"/>
      </w:pPr>
      <w:r>
        <w:rPr>
          <w:rFonts w:ascii="Arial" w:cs="Arial" w:eastAsia="Arial" w:hAnsi="Arial"/>
          <w:b w:val="false"/>
          <w:bCs w:val="false"/>
          <w:i w:val="false"/>
          <w:iCs w:val="false"/>
          <w:color w:val="000000"/>
          <w:sz w:val="18"/>
          <w:szCs w:val="18"/>
        </w:rPr>
        <w:t xml:space="preserve">This report summarizes bibliometric performance for six Basic Sciences research groups at UC Davis School of Medicine, covering publications indexed in Scopus from January 2020 through December 2024. Metrics were extracted from SciVal (Elsevier) in March 2026. The report adds Public Health Sciences (PHS) as a sixth group, comprising 26 faculty members identified from the PHS department roster and verified against the PHS faculty webpage. Group membership counts reflect active researchers assigned in SciVal as of the extraction date.</w:t>
      </w:r>
    </w:p>
    <w:p>
      <w:pPr>
        <w:spacing w:after="120"/>
      </w:pPr>
      <w:r>
        <w:rPr>
          <w:rFonts w:ascii="Arial" w:cs="Arial" w:eastAsia="Arial" w:hAnsi="Arial"/>
          <w:b w:val="false"/>
          <w:bCs w:val="false"/>
          <w:i w:val="false"/>
          <w:iCs w:val="false"/>
          <w:color w:val="000000"/>
          <w:sz w:val="18"/>
          <w:szCs w:val="18"/>
        </w:rPr>
        <w:t xml:space="preserve">Key metrics: Scholarly Output (SO) = total peer-reviewed publications; FWCI (Field-Weighted Citation Impact) = citations relative to global field average (1.0 = world average); Open Access % = share of articles with open-access availability; Prominence Percentile = SciVal composite score reflecting citation momentum, online attention, and recency for a research topic cluster.</w:t>
      </w:r>
    </w:p>
    <w:p>
      <w:pPr>
        <w:spacing w:after="240"/>
      </w:pPr>
    </w:p>
    <w:p>
      <w:pPr>
        <w:spacing w:after="100" w:before="180"/>
        <w:jc w:val="left"/>
      </w:pPr>
      <w:r>
        <w:rPr>
          <w:rFonts w:ascii="Arial" w:cs="Arial" w:eastAsia="Arial" w:hAnsi="Arial"/>
          <w:b/>
          <w:bCs/>
          <w:color w:val="1F4E79"/>
          <w:sz w:val="24"/>
          <w:szCs w:val="24"/>
        </w:rPr>
        <w:t xml:space="preserve">Key Findings</w:t>
      </w:r>
    </w:p>
    <w:p>
      <w:pPr>
        <w:spacing w:after="120"/>
      </w:pPr>
      <w:r>
        <w:rPr>
          <w:rFonts w:ascii="Arial" w:cs="Arial" w:eastAsia="Arial" w:hAnsi="Arial"/>
          <w:b w:val="false"/>
          <w:bCs w:val="false"/>
          <w:i w:val="false"/>
          <w:iCs w:val="false"/>
          <w:color w:val="000000"/>
          <w:sz w:val="18"/>
          <w:szCs w:val="18"/>
        </w:rPr>
        <w:t xml:space="preserve">• BMM leads in total output (669 publications) and raw citation volume (26,744), reflecting the largest faculty roster (25).</w:t>
      </w:r>
    </w:p>
    <w:p>
      <w:pPr>
        <w:spacing w:after="120"/>
      </w:pPr>
      <w:r>
        <w:rPr>
          <w:rFonts w:ascii="Arial" w:cs="Arial" w:eastAsia="Arial" w:hAnsi="Arial"/>
          <w:b w:val="false"/>
          <w:bCs w:val="false"/>
          <w:i w:val="false"/>
          <w:iCs w:val="false"/>
          <w:color w:val="000000"/>
          <w:sz w:val="18"/>
          <w:szCs w:val="18"/>
        </w:rPr>
        <w:t xml:space="preserve">• MMI has the highest FWCI at 3.96 — nearly 4× the global field average — driven by high-impact work in infectious disease, gut microbiome, and autism-immune research.</w:t>
      </w:r>
    </w:p>
    <w:p>
      <w:pPr>
        <w:spacing w:after="120"/>
      </w:pPr>
      <w:r>
        <w:rPr>
          <w:rFonts w:ascii="Arial" w:cs="Arial" w:eastAsia="Arial" w:hAnsi="Arial"/>
          <w:b w:val="false"/>
          <w:bCs w:val="false"/>
          <w:i w:val="false"/>
          <w:iCs w:val="false"/>
          <w:color w:val="000000"/>
          <w:sz w:val="18"/>
          <w:szCs w:val="18"/>
        </w:rPr>
        <w:t xml:space="preserve">• PHS is the highest-output group with 1,108 publications over 2020–2024 (26 members), with a FWCI of 1.61 above the global average and 88.0% open access rate. PHS leads in climate/environment topics including Environmental Impact of Perfluoroalkyl Substances (Prominence: 99.95%) and Heat Exposure and Health Risks in Climate Change (99.81%).</w:t>
      </w:r>
    </w:p>
    <w:p>
      <w:pPr>
        <w:spacing w:after="120"/>
      </w:pPr>
      <w:r>
        <w:rPr>
          <w:rFonts w:ascii="Arial" w:cs="Arial" w:eastAsia="Arial" w:hAnsi="Arial"/>
          <w:b w:val="false"/>
          <w:bCs w:val="false"/>
          <w:i w:val="false"/>
          <w:iCs w:val="false"/>
          <w:color w:val="000000"/>
          <w:sz w:val="18"/>
          <w:szCs w:val="18"/>
        </w:rPr>
        <w:t xml:space="preserve">• CBHA shows the highest Open Access rate (91.0%) and a strong topic-level FWCI in Mesenchymal Stem Cells (4.92).</w:t>
      </w:r>
    </w:p>
    <w:p>
      <w:pPr>
        <w:spacing w:after="120"/>
      </w:pPr>
      <w:r>
        <w:rPr>
          <w:rFonts w:ascii="Arial" w:cs="Arial" w:eastAsia="Arial" w:hAnsi="Arial"/>
          <w:b w:val="false"/>
          <w:bCs w:val="false"/>
          <w:i w:val="false"/>
          <w:iCs w:val="false"/>
          <w:color w:val="000000"/>
          <w:sz w:val="18"/>
          <w:szCs w:val="18"/>
        </w:rPr>
        <w:t xml:space="preserve">• Physiology demonstrates consistent year-over-year output (ranging 74–89/yr) and a standout Prominence Percentile of 99.9% for Mendelian Randomization work.</w:t>
      </w:r>
    </w:p>
    <w:p>
      <w:pPr>
        <w:spacing w:after="120"/>
      </w:pPr>
      <w:r>
        <w:rPr>
          <w:rFonts w:ascii="Arial" w:cs="Arial" w:eastAsia="Arial" w:hAnsi="Arial"/>
          <w:b w:val="false"/>
          <w:bCs w:val="false"/>
          <w:i w:val="false"/>
          <w:iCs w:val="false"/>
          <w:color w:val="000000"/>
          <w:sz w:val="18"/>
          <w:szCs w:val="18"/>
        </w:rPr>
        <w:t xml:space="preserve">• Pharmacology output peaked in 2021 (98) with a coherent calcium-channel and cardiac arrhythmia research cluster across all 5 top topics.</w:t>
      </w:r>
    </w:p>
    <w:p>
      <w:pPr>
        <w:spacing w:after="24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000"/>
        <w:gridCol w:w="1000"/>
        <w:gridCol w:w="1760"/>
        <w:gridCol w:w="1400"/>
        <w:gridCol w:w="1600"/>
      </w:tblGrid>
      <w:tr>
        <w:tc>
          <w:tcPr>
            <w:tcW w:type="dxa" w:w="11960"/>
            <w:gridSpan w:val="7"/>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 1. Research Output Overview, 2020–2024</w:t>
            </w:r>
          </w:p>
        </w:tc>
      </w:tr>
      <w:tr>
        <w:trPr>
          <w:tblHeader/>
        </w:trPr>
        <w:tc>
          <w:tcPr>
            <w:tcW w:type="dxa" w:w="38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Department / Group</w:t>
            </w:r>
          </w:p>
        </w:tc>
        <w:tc>
          <w:tcPr>
            <w:tcW w:type="dxa" w:w="14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Members</w:t>
            </w:r>
          </w:p>
        </w:tc>
        <w:tc>
          <w:tcPr>
            <w:tcW w:type="dxa" w:w="10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Scholarly Output</w:t>
            </w:r>
          </w:p>
        </w:tc>
        <w:tc>
          <w:tcPr>
            <w:tcW w:type="dxa" w:w="10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FWCI</w:t>
            </w:r>
          </w:p>
        </w:tc>
        <w:tc>
          <w:tcPr>
            <w:tcW w:type="dxa" w:w="17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Total Citations</w:t>
            </w:r>
          </w:p>
        </w:tc>
        <w:tc>
          <w:tcPr>
            <w:tcW w:type="dxa" w:w="14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Citations / Pub</w:t>
            </w:r>
          </w:p>
        </w:tc>
        <w:tc>
          <w:tcPr>
            <w:tcW w:type="dxa" w:w="16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Open Access %</w:t>
            </w:r>
          </w:p>
        </w:tc>
      </w:tr>
      <w:tr>
        <w:tc>
          <w:tcPr>
            <w:tcW w:type="dxa" w:w="38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Biochemistry &amp; Molecular Medicine</w:t>
            </w:r>
          </w:p>
        </w:tc>
        <w:tc>
          <w:tcPr>
            <w:tcW w:type="dxa" w:w="14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1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669</w:t>
            </w:r>
          </w:p>
        </w:tc>
        <w:tc>
          <w:tcPr>
            <w:tcW w:type="dxa" w:w="10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2.18</w:t>
            </w:r>
          </w:p>
        </w:tc>
        <w:tc>
          <w:tcPr>
            <w:tcW w:type="dxa" w:w="17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26,744</w:t>
            </w:r>
          </w:p>
        </w:tc>
        <w:tc>
          <w:tcPr>
            <w:tcW w:type="dxa" w:w="14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40.0</w:t>
            </w:r>
          </w:p>
        </w:tc>
        <w:tc>
          <w:tcPr>
            <w:tcW w:type="dxa" w:w="16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89.4%</w:t>
            </w:r>
          </w:p>
        </w:tc>
      </w:tr>
      <w:tr>
        <w:tc>
          <w:tcPr>
            <w:tcW w:type="dxa" w:w="38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Cell Biology &amp; Human Anatomy</w:t>
            </w:r>
          </w:p>
        </w:tc>
        <w:tc>
          <w:tcPr>
            <w:tcW w:type="dxa" w:w="14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17 (16 active)</w:t>
            </w:r>
          </w:p>
        </w:tc>
        <w:tc>
          <w:tcPr>
            <w:tcW w:type="dxa" w:w="1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167</w:t>
            </w:r>
          </w:p>
        </w:tc>
        <w:tc>
          <w:tcPr>
            <w:tcW w:type="dxa" w:w="1000"/>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1.32</w:t>
            </w:r>
          </w:p>
        </w:tc>
        <w:tc>
          <w:tcPr>
            <w:tcW w:type="dxa" w:w="17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3,590</w:t>
            </w:r>
          </w:p>
        </w:tc>
        <w:tc>
          <w:tcPr>
            <w:tcW w:type="dxa" w:w="14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21.5</w:t>
            </w:r>
          </w:p>
        </w:tc>
        <w:tc>
          <w:tcPr>
            <w:tcW w:type="dxa" w:w="16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91.0%</w:t>
            </w:r>
          </w:p>
        </w:tc>
      </w:tr>
      <w:tr>
        <w:tc>
          <w:tcPr>
            <w:tcW w:type="dxa" w:w="3800"/>
            <w:gridSpan w:val="1"/>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Medical Microbiology &amp; Immunology</w:t>
            </w:r>
          </w:p>
        </w:tc>
        <w:tc>
          <w:tcPr>
            <w:tcW w:type="dxa" w:w="1400"/>
            <w:gridSpan w:val="1"/>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22</w:t>
            </w:r>
          </w:p>
        </w:tc>
        <w:tc>
          <w:tcPr>
            <w:tcW w:type="dxa" w:w="1000"/>
            <w:gridSpan w:val="1"/>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425</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9000"/>
                <w:sz w:val="18"/>
                <w:szCs w:val="18"/>
              </w:rPr>
              <w:t xml:space="preserve">3.96</w:t>
            </w:r>
          </w:p>
        </w:tc>
        <w:tc>
          <w:tcPr>
            <w:tcW w:type="dxa" w:w="1760"/>
            <w:gridSpan w:val="1"/>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24,859</w:t>
            </w:r>
          </w:p>
        </w:tc>
        <w:tc>
          <w:tcPr>
            <w:tcW w:type="dxa" w:w="1400"/>
            <w:gridSpan w:val="1"/>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58.5</w:t>
            </w:r>
          </w:p>
        </w:tc>
        <w:tc>
          <w:tcPr>
            <w:tcW w:type="dxa" w:w="1600"/>
            <w:gridSpan w:val="1"/>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86.8%</w:t>
            </w:r>
          </w:p>
        </w:tc>
      </w:tr>
      <w:tr>
        <w:tc>
          <w:tcPr>
            <w:tcW w:type="dxa" w:w="38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Pharmacology</w:t>
            </w:r>
          </w:p>
        </w:tc>
        <w:tc>
          <w:tcPr>
            <w:tcW w:type="dxa" w:w="14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27 (26 active)</w:t>
            </w:r>
          </w:p>
        </w:tc>
        <w:tc>
          <w:tcPr>
            <w:tcW w:type="dxa" w:w="1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444</w:t>
            </w:r>
          </w:p>
        </w:tc>
        <w:tc>
          <w:tcPr>
            <w:tcW w:type="dxa" w:w="1000"/>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1.64</w:t>
            </w:r>
          </w:p>
        </w:tc>
        <w:tc>
          <w:tcPr>
            <w:tcW w:type="dxa" w:w="17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10,440</w:t>
            </w:r>
          </w:p>
        </w:tc>
        <w:tc>
          <w:tcPr>
            <w:tcW w:type="dxa" w:w="14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23.5</w:t>
            </w:r>
          </w:p>
        </w:tc>
        <w:tc>
          <w:tcPr>
            <w:tcW w:type="dxa" w:w="16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88.5%</w:t>
            </w:r>
          </w:p>
        </w:tc>
      </w:tr>
      <w:tr>
        <w:tc>
          <w:tcPr>
            <w:tcW w:type="dxa" w:w="38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Physiology &amp; Membrane Biology</w:t>
            </w:r>
          </w:p>
        </w:tc>
        <w:tc>
          <w:tcPr>
            <w:tcW w:type="dxa" w:w="14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22 (21 active)</w:t>
            </w:r>
          </w:p>
        </w:tc>
        <w:tc>
          <w:tcPr>
            <w:tcW w:type="dxa" w:w="1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417</w:t>
            </w:r>
          </w:p>
        </w:tc>
        <w:tc>
          <w:tcPr>
            <w:tcW w:type="dxa" w:w="10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1.75</w:t>
            </w:r>
          </w:p>
        </w:tc>
        <w:tc>
          <w:tcPr>
            <w:tcW w:type="dxa" w:w="17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9,901</w:t>
            </w:r>
          </w:p>
        </w:tc>
        <w:tc>
          <w:tcPr>
            <w:tcW w:type="dxa" w:w="14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23.7</w:t>
            </w:r>
          </w:p>
        </w:tc>
        <w:tc>
          <w:tcPr>
            <w:tcW w:type="dxa" w:w="16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88.7%</w:t>
            </w:r>
          </w:p>
        </w:tc>
      </w:tr>
      <w:tr>
        <w:tc>
          <w:tcPr>
            <w:tcW w:type="dxa" w:w="38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Public Health Sciences</w:t>
            </w:r>
          </w:p>
        </w:tc>
        <w:tc>
          <w:tcPr>
            <w:tcW w:type="dxa" w:w="14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26</w:t>
            </w:r>
          </w:p>
        </w:tc>
        <w:tc>
          <w:tcPr>
            <w:tcW w:type="dxa" w:w="10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1,108</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1.61</w:t>
            </w:r>
          </w:p>
        </w:tc>
        <w:tc>
          <w:tcPr>
            <w:tcW w:type="dxa" w:w="17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23,615</w:t>
            </w:r>
          </w:p>
        </w:tc>
        <w:tc>
          <w:tcPr>
            <w:tcW w:type="dxa" w:w="14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21.3</w:t>
            </w:r>
          </w:p>
        </w:tc>
        <w:tc>
          <w:tcPr>
            <w:tcW w:type="dxa" w:w="16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88.0%</w:t>
            </w:r>
          </w:p>
        </w:tc>
      </w:tr>
      <w:tr>
        <w:tc>
          <w:tcPr>
            <w:tcW w:type="dxa" w:w="12960"/>
            <w:gridSpan w:val="7"/>
            <w:tcBorders>
              <w:top w:val="single" w:color="B8CCE4" w:sz="1"/>
              <w:left w:val="single" w:color="B8CCE4" w:sz="1"/>
              <w:bottom w:val="single" w:color="B8CCE4" w:sz="1"/>
              <w:right w:val="single" w:color="B8CCE4" w:sz="1"/>
            </w:tcBorders>
            <w:shd w:fill="F2F2F2" w:val="clear"/>
            <w:tcMar>
              <w:top w:type="dxa" w:w="60"/>
              <w:left w:type="dxa" w:w="120"/>
              <w:bottom w:type="dxa" w:w="60"/>
              <w:right w:type="dxa" w:w="120"/>
            </w:tcMar>
          </w:tcPr>
          <w:p>
            <w:r>
              <w:rPr>
                <w:rFonts w:ascii="Arial" w:cs="Arial" w:eastAsia="Arial" w:hAnsi="Arial"/>
                <w:i/>
                <w:iCs/>
                <w:color w:val="595959"/>
                <w:sz w:val="14"/>
                <w:szCs w:val="14"/>
              </w:rPr>
              <w:t xml:space="preserve">Source: SciVal (Elsevier), March 2026. FWCI = Field-Weighted Citation Impact (global average = 1.0). † MMI highlighted due to outlier FWCI of 3.96. ‡ PHS highlighted in green (newly added group).</w:t>
            </w:r>
          </w:p>
        </w:tc>
      </w:tr>
    </w:tbl>
    <w:p>
      <w:pPr>
        <w:spacing w:after="400"/>
      </w:pPr>
    </w:p>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1560"/>
        <w:gridCol w:w="1560"/>
        <w:gridCol w:w="1560"/>
        <w:gridCol w:w="1560"/>
        <w:gridCol w:w="1560"/>
      </w:tblGrid>
      <w:tr>
        <w:tc>
          <w:tcPr>
            <w:tcW w:type="dxa" w:w="12960"/>
            <w:gridSpan w:val="7"/>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 2. Annual Scholarly Output by Group, 2020–2024 (SciVal Benchmark)</w:t>
            </w:r>
          </w:p>
        </w:tc>
      </w:tr>
      <w:tr>
        <w:trPr>
          <w:tblHeader/>
        </w:trPr>
        <w:tc>
          <w:tcPr>
            <w:tcW w:type="dxa" w:w="36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Department / Group</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2020</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2021</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2022</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2023</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2024</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5-Year Total</w:t>
            </w:r>
          </w:p>
        </w:tc>
      </w:tr>
      <w:tr>
        <w:tc>
          <w:tcPr>
            <w:tcW w:type="dxa" w:w="36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Biochemistry &amp; Molecular Medicine</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176</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125</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145</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123</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669</w:t>
            </w:r>
          </w:p>
        </w:tc>
      </w:tr>
      <w:tr>
        <w:tc>
          <w:tcPr>
            <w:tcW w:type="dxa" w:w="36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Cell Biology &amp; Human Anatomy</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41</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42</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31</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32</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167</w:t>
            </w:r>
          </w:p>
        </w:tc>
      </w:tr>
      <w:tr>
        <w:tc>
          <w:tcPr>
            <w:tcW w:type="dxa" w:w="36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Medical Microbiology &amp; Immunology</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99</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87</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85</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74</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425</w:t>
            </w:r>
          </w:p>
        </w:tc>
      </w:tr>
      <w:tr>
        <w:tc>
          <w:tcPr>
            <w:tcW w:type="dxa" w:w="36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Pharmacology</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93</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98</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92</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84</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77</w:t>
            </w:r>
          </w:p>
        </w:tc>
        <w:tc>
          <w:tcPr>
            <w:tcW w:type="dxa" w:w="1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444</w:t>
            </w:r>
          </w:p>
        </w:tc>
      </w:tr>
      <w:tr>
        <w:tc>
          <w:tcPr>
            <w:tcW w:type="dxa" w:w="36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Physiology &amp; Membrane Biology</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81</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74</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86</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89</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87</w:t>
            </w:r>
          </w:p>
        </w:tc>
        <w:tc>
          <w:tcPr>
            <w:tcW w:type="dxa" w:w="1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417</w:t>
            </w:r>
          </w:p>
        </w:tc>
      </w:tr>
      <w:tr>
        <w:tc>
          <w:tcPr>
            <w:tcW w:type="dxa" w:w="36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Public Health Sciences</w:t>
            </w:r>
          </w:p>
        </w:tc>
        <w:tc>
          <w:tcPr>
            <w:tcW w:type="dxa" w:w="1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206</w:t>
            </w:r>
          </w:p>
        </w:tc>
        <w:tc>
          <w:tcPr>
            <w:tcW w:type="dxa" w:w="1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231</w:t>
            </w:r>
          </w:p>
        </w:tc>
        <w:tc>
          <w:tcPr>
            <w:tcW w:type="dxa" w:w="1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247</w:t>
            </w:r>
          </w:p>
        </w:tc>
        <w:tc>
          <w:tcPr>
            <w:tcW w:type="dxa" w:w="1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209</w:t>
            </w:r>
          </w:p>
        </w:tc>
        <w:tc>
          <w:tcPr>
            <w:tcW w:type="dxa" w:w="1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215</w:t>
            </w:r>
          </w:p>
        </w:tc>
        <w:tc>
          <w:tcPr>
            <w:tcW w:type="dxa" w:w="1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1108</w:t>
            </w:r>
          </w:p>
        </w:tc>
      </w:tr>
      <w:tr>
        <w:tc>
          <w:tcPr>
            <w:tcW w:type="dxa" w:w="36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All Groups Total</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696</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657</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686</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611</w:t>
            </w:r>
          </w:p>
        </w:tc>
        <w:tc>
          <w:tcPr>
            <w:tcW w:type="dxa" w:w="1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580</w:t>
            </w:r>
          </w:p>
        </w:tc>
        <w:tc>
          <w:tcPr>
            <w:tcW w:type="dxa" w:w="1560"/>
            <w:gridSpan w:val="1"/>
            <w:tcBorders>
              <w:top w:val="single" w:color="B8CCE4" w:sz="1"/>
              <w:left w:val="single" w:color="B8CCE4" w:sz="1"/>
              <w:bottom w:val="single" w:color="B8CCE4" w:sz="1"/>
              <w:right w:val="single" w:color="B8CCE4"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3230</w:t>
            </w:r>
          </w:p>
        </w:tc>
      </w:tr>
      <w:tr>
        <w:tc>
          <w:tcPr>
            <w:tcW w:type="dxa" w:w="12960"/>
            <w:gridSpan w:val="7"/>
            <w:tcBorders>
              <w:top w:val="single" w:color="B8CCE4" w:sz="1"/>
              <w:left w:val="single" w:color="B8CCE4" w:sz="1"/>
              <w:bottom w:val="single" w:color="B8CCE4" w:sz="1"/>
              <w:right w:val="single" w:color="B8CCE4" w:sz="1"/>
            </w:tcBorders>
            <w:shd w:fill="F2F2F2" w:val="clear"/>
            <w:tcMar>
              <w:top w:type="dxa" w:w="60"/>
              <w:left w:type="dxa" w:w="120"/>
              <w:bottom w:type="dxa" w:w="60"/>
              <w:right w:type="dxa" w:w="120"/>
            </w:tcMar>
          </w:tcPr>
          <w:p>
            <w:r>
              <w:rPr>
                <w:rFonts w:ascii="Arial" w:cs="Arial" w:eastAsia="Arial" w:hAnsi="Arial"/>
                <w:i/>
                <w:iCs/>
                <w:color w:val="595959"/>
                <w:sz w:val="14"/>
                <w:szCs w:val="14"/>
              </w:rPr>
              <w:t xml:space="preserve">Source: SciVal Benchmark module, March 2026. Yearly output reflects publications indexed in Scopus for the given calendar year.</w:t>
            </w:r>
          </w:p>
        </w:tc>
      </w:tr>
    </w:tbl>
    <w:p>
      <w:pPr>
        <w:spacing w:after="400"/>
      </w:pPr>
    </w:p>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2340"/>
        <w:gridCol w:w="2340"/>
        <w:gridCol w:w="2340"/>
        <w:gridCol w:w="2340"/>
      </w:tblGrid>
      <w:tr>
        <w:tc>
          <w:tcPr>
            <w:tcW w:type="dxa" w:w="12960"/>
            <w:gridSpan w:val="5"/>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 3. Performance Indicators, 2020–2024</w:t>
            </w:r>
          </w:p>
        </w:tc>
      </w:tr>
      <w:tr>
        <w:trPr>
          <w:tblHeader/>
        </w:trPr>
        <w:tc>
          <w:tcPr>
            <w:tcW w:type="dxa" w:w="36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Department / Group</w:t>
            </w:r>
          </w:p>
        </w:tc>
        <w:tc>
          <w:tcPr>
            <w:tcW w:type="dxa" w:w="234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Top 10% by Citation Impact</w:t>
            </w:r>
          </w:p>
        </w:tc>
        <w:tc>
          <w:tcPr>
            <w:tcW w:type="dxa" w:w="234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Publications in Top 10% Journals</w:t>
            </w:r>
          </w:p>
        </w:tc>
        <w:tc>
          <w:tcPr>
            <w:tcW w:type="dxa" w:w="234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International Collaboration %</w:t>
            </w:r>
          </w:p>
        </w:tc>
        <w:tc>
          <w:tcPr>
            <w:tcW w:type="dxa" w:w="234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Academic–Corporate Collaboration %</w:t>
            </w:r>
          </w:p>
        </w:tc>
      </w:tr>
      <w:tr>
        <w:tc>
          <w:tcPr>
            <w:tcW w:type="dxa" w:w="36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Biochemistry &amp; Molecular Medicine</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22.0%</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50.2%</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8"/>
                <w:szCs w:val="18"/>
              </w:rPr>
              <w:t xml:space="preserve">—</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8"/>
                <w:szCs w:val="18"/>
              </w:rPr>
              <w:t xml:space="preserve">—</w:t>
            </w:r>
          </w:p>
        </w:tc>
      </w:tr>
      <w:tr>
        <w:tc>
          <w:tcPr>
            <w:tcW w:type="dxa" w:w="36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Cell Biology &amp; Human Anatomy</w:t>
            </w:r>
          </w:p>
        </w:tc>
        <w:tc>
          <w:tcPr>
            <w:tcW w:type="dxa" w:w="234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13.2%</w:t>
            </w:r>
          </w:p>
        </w:tc>
        <w:tc>
          <w:tcPr>
            <w:tcW w:type="dxa" w:w="234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53.4%</w:t>
            </w:r>
          </w:p>
        </w:tc>
        <w:tc>
          <w:tcPr>
            <w:tcW w:type="dxa" w:w="234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8"/>
                <w:szCs w:val="18"/>
              </w:rPr>
              <w:t xml:space="preserve">—</w:t>
            </w:r>
          </w:p>
        </w:tc>
        <w:tc>
          <w:tcPr>
            <w:tcW w:type="dxa" w:w="234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8"/>
                <w:szCs w:val="18"/>
              </w:rPr>
              <w:t xml:space="preserve">—</w:t>
            </w:r>
          </w:p>
        </w:tc>
      </w:tr>
      <w:tr>
        <w:tc>
          <w:tcPr>
            <w:tcW w:type="dxa" w:w="36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Medical Microbiology &amp; Immunology</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21.9%</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54.3%</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42.6%</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8.5%</w:t>
            </w:r>
          </w:p>
        </w:tc>
      </w:tr>
      <w:tr>
        <w:tc>
          <w:tcPr>
            <w:tcW w:type="dxa" w:w="36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Pharmacology</w:t>
            </w:r>
          </w:p>
        </w:tc>
        <w:tc>
          <w:tcPr>
            <w:tcW w:type="dxa" w:w="234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17.1%</w:t>
            </w:r>
          </w:p>
        </w:tc>
        <w:tc>
          <w:tcPr>
            <w:tcW w:type="dxa" w:w="234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47.2%</w:t>
            </w:r>
          </w:p>
        </w:tc>
        <w:tc>
          <w:tcPr>
            <w:tcW w:type="dxa" w:w="234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8"/>
                <w:szCs w:val="18"/>
              </w:rPr>
              <w:t xml:space="preserve">—</w:t>
            </w:r>
          </w:p>
        </w:tc>
        <w:tc>
          <w:tcPr>
            <w:tcW w:type="dxa" w:w="234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8"/>
                <w:szCs w:val="18"/>
              </w:rPr>
              <w:t xml:space="preserve">—</w:t>
            </w:r>
          </w:p>
        </w:tc>
      </w:tr>
      <w:tr>
        <w:tc>
          <w:tcPr>
            <w:tcW w:type="dxa" w:w="36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Physiology &amp; Membrane Biology</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21.8%</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50.2%</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41.0%</w:t>
            </w:r>
          </w:p>
        </w:tc>
        <w:tc>
          <w:tcPr>
            <w:tcW w:type="dxa" w:w="234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6.2%</w:t>
            </w:r>
          </w:p>
        </w:tc>
      </w:tr>
      <w:tr>
        <w:tc>
          <w:tcPr>
            <w:tcW w:type="dxa" w:w="36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Public Health Sciences</w:t>
            </w:r>
          </w:p>
        </w:tc>
        <w:tc>
          <w:tcPr>
            <w:tcW w:type="dxa" w:w="234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16.7%</w:t>
            </w:r>
          </w:p>
        </w:tc>
        <w:tc>
          <w:tcPr>
            <w:tcW w:type="dxa" w:w="234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46.8%</w:t>
            </w:r>
          </w:p>
        </w:tc>
        <w:tc>
          <w:tcPr>
            <w:tcW w:type="dxa" w:w="234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29.1%</w:t>
            </w:r>
          </w:p>
        </w:tc>
        <w:tc>
          <w:tcPr>
            <w:tcW w:type="dxa" w:w="234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7.2%</w:t>
            </w:r>
          </w:p>
        </w:tc>
      </w:tr>
      <w:tr>
        <w:tc>
          <w:tcPr>
            <w:tcW w:type="dxa" w:w="12960"/>
            <w:gridSpan w:val="5"/>
            <w:tcBorders>
              <w:top w:val="single" w:color="B8CCE4" w:sz="1"/>
              <w:left w:val="single" w:color="B8CCE4" w:sz="1"/>
              <w:bottom w:val="single" w:color="B8CCE4" w:sz="1"/>
              <w:right w:val="single" w:color="B8CCE4" w:sz="1"/>
            </w:tcBorders>
            <w:shd w:fill="F2F2F2" w:val="clear"/>
            <w:tcMar>
              <w:top w:type="dxa" w:w="60"/>
              <w:left w:type="dxa" w:w="120"/>
              <w:bottom w:type="dxa" w:w="60"/>
              <w:right w:type="dxa" w:w="120"/>
            </w:tcMar>
          </w:tcPr>
          <w:p>
            <w:r>
              <w:rPr>
                <w:rFonts w:ascii="Arial" w:cs="Arial" w:eastAsia="Arial" w:hAnsi="Arial"/>
                <w:i/>
                <w:iCs/>
                <w:color w:val="595959"/>
                <w:sz w:val="14"/>
                <w:szCs w:val="14"/>
              </w:rPr>
              <w:t xml:space="preserve">— = Metric not reported for this group in SciVal Explore for the selected period. Collaboration metrics shown where available.</w:t>
            </w:r>
          </w:p>
        </w:tc>
      </w:tr>
    </w:tbl>
    <w:p>
      <w:pPr>
        <w:spacing w:after="400"/>
      </w:pPr>
    </w:p>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480"/>
        <w:gridCol w:w="4560"/>
        <w:gridCol w:w="1260"/>
        <w:gridCol w:w="1260"/>
        <w:gridCol w:w="3000"/>
      </w:tblGrid>
      <w:tr>
        <w:tc>
          <w:tcPr>
            <w:tcW w:type="dxa" w:w="12960"/>
            <w:gridSpan w:val="6"/>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 4. Top 5 Research Topics by Group, 2020–2024 (SciVal Prominence)</w:t>
            </w:r>
          </w:p>
        </w:tc>
      </w:tr>
      <w:tr>
        <w:trPr>
          <w:tblHeader/>
        </w:trPr>
        <w:tc>
          <w:tcPr>
            <w:tcW w:type="dxa" w:w="24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Department / Group</w:t>
            </w:r>
          </w:p>
        </w:tc>
        <w:tc>
          <w:tcPr>
            <w:tcW w:type="dxa" w:w="48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w:t>
            </w:r>
          </w:p>
        </w:tc>
        <w:tc>
          <w:tcPr>
            <w:tcW w:type="dxa" w:w="45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Research Topic</w:t>
            </w:r>
          </w:p>
        </w:tc>
        <w:tc>
          <w:tcPr>
            <w:tcW w:type="dxa" w:w="12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Publications</w:t>
            </w:r>
          </w:p>
        </w:tc>
        <w:tc>
          <w:tcPr>
            <w:tcW w:type="dxa" w:w="126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FWCI</w:t>
            </w:r>
          </w:p>
        </w:tc>
        <w:tc>
          <w:tcPr>
            <w:tcW w:type="dxa" w:w="3000"/>
            <w:gridSpan w:val="1"/>
            <w:tcBorders>
              <w:top w:val="single" w:color="B8CCE4" w:sz="1"/>
              <w:left w:val="single" w:color="B8CCE4" w:sz="1"/>
              <w:bottom w:val="single" w:color="B8CCE4" w:sz="1"/>
              <w:right w:val="single" w:color="B8CCE4"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Prominence Percentile</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bCs/>
                <w:color w:val="1F4E79"/>
                <w:sz w:val="17"/>
                <w:szCs w:val="17"/>
              </w:rPr>
              <w:t xml:space="preserve">Biochemistry &amp; Molecular Medicine</w:t>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Fragile X Syndrome</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65</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0.78</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88.2%</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Psychedelics</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26</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4.50</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99.7%</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Glycosylation</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1.36</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97.9%</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Human Milk Oligosaccharides</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1.98</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98.0%</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MicroRNA / Sepsis</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3.22</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82.7%</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bCs/>
                <w:color w:val="1F4E79"/>
                <w:sz w:val="17"/>
                <w:szCs w:val="17"/>
              </w:rPr>
              <w:t xml:space="preserve">Cell Biology &amp; Human Anatomy</w:t>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Gene Expression / Retinal</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0.87</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89.9%</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Mesenchymal Stem Cells</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4.92</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98.6%</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Optical Imaging / Retinal</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0.69</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54.3%</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Maternal Immune Activation</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1.42</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94.7%</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Lipoprotein Receptor</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0.51</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80.1%</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bCs/>
                <w:color w:val="1F4E79"/>
                <w:sz w:val="17"/>
                <w:szCs w:val="17"/>
              </w:rPr>
              <w:t xml:space="preserve">Medical Microbiology &amp; Immunology</w:t>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Coccidioidomycosis</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35</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1.40</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84.3%</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Gut Microbiota / Human Health</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3.30</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99.8%</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COVID-19 Health Disparities</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0.05</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98.1%</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Voriconazole / Posaconazole</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1.57</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91.4%</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Autism / Immune System</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1.95</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91.6%</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bCs/>
                <w:color w:val="1F4E79"/>
                <w:sz w:val="17"/>
                <w:szCs w:val="17"/>
              </w:rPr>
              <w:t xml:space="preserve">Pharmacology</w:t>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Calcium Signaling / Arrhythmia</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22</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2.35</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92.8%</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Potassium Channels</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18</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1.08</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84.7%</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Calcium Dynamics / Cardiac</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1.02</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83.9%</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Calcium Channel Regulation</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0.91</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86.9%</w:t>
            </w:r>
          </w:p>
        </w:tc>
      </w:tr>
      <w:tr>
        <w:tc>
          <w:tcPr>
            <w:tcW w:type="dxa" w:w="2400"/>
            <w:tcBorders>
              <w:top w:val="single" w:color="B8CCE4" w:sz="1"/>
              <w:left w:val="single" w:color="B8CCE4" w:sz="1"/>
              <w:bottom w:val="single" w:color="B8CCE4" w:sz="1"/>
              <w:right w:val="single" w:color="B8CCE4" w:sz="1"/>
            </w:tcBorders>
            <w:shd w:fill="F5FA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45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Cardiac Arrhythmias / Long QT</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126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0.81</w:t>
            </w:r>
          </w:p>
        </w:tc>
        <w:tc>
          <w:tcPr>
            <w:tcW w:type="dxa" w:w="3000"/>
            <w:gridSpan w:val="1"/>
            <w:tcBorders>
              <w:top w:val="single" w:color="B8CCE4" w:sz="1"/>
              <w:left w:val="single" w:color="B8CCE4" w:sz="1"/>
              <w:bottom w:val="single" w:color="B8CCE4" w:sz="1"/>
              <w:right w:val="single" w:color="B8CCE4"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88.3%</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bCs/>
                <w:color w:val="1F4E79"/>
                <w:sz w:val="17"/>
                <w:szCs w:val="17"/>
              </w:rPr>
              <w:t xml:space="preserve">Physiology &amp; Membrane Biology</w:t>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Mendelian Randomization</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65</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3.28</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99.9%</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Maternal Immune Activation</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1.28</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94.7%</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Connexin Proteins</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1.03</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89.6%</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Calcium Channel Regulation</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1.13</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86.9%</w:t>
            </w:r>
          </w:p>
        </w:tc>
      </w:tr>
      <w:tr>
        <w:tc>
          <w:tcPr>
            <w:tcW w:type="dxa" w:w="2400"/>
            <w:tcBorders>
              <w:top w:val="single" w:color="B8CCE4" w:sz="1"/>
              <w:left w:val="single" w:color="B8CCE4" w:sz="1"/>
              <w:bottom w:val="single" w:color="B8CCE4" w:sz="1"/>
              <w:right w:val="single" w:color="B8CCE4" w:sz="1"/>
            </w:tcBorders>
            <w:shd w:fill="EBF3FB"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45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Stem Cell / Tendon</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126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0.75</w:t>
            </w:r>
          </w:p>
        </w:tc>
        <w:tc>
          <w:tcPr>
            <w:tcW w:type="dxa" w:w="3000"/>
            <w:gridSpan w:val="1"/>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97.4%</w:t>
            </w:r>
          </w:p>
        </w:tc>
      </w:tr>
      <w:tr>
        <w:tc>
          <w:tcPr>
            <w:tcW w:type="dxa" w:w="2400"/>
            <w:tcBorders>
              <w:top w:val="single" w:color="B8CCE4" w:sz="1"/>
              <w:left w:val="single" w:color="B8CCE4" w:sz="1"/>
              <w:bottom w:val="single" w:color="B8CCE4" w:sz="1"/>
              <w:right w:val="single" w:color="B8CCE4" w:sz="1"/>
            </w:tcBorders>
            <w:shd w:fill="D6EAD0" w:val="clear"/>
            <w:tcMar>
              <w:top w:type="dxa" w:w="60"/>
              <w:left w:type="dxa" w:w="100"/>
              <w:bottom w:type="dxa" w:w="60"/>
              <w:right w:type="dxa" w:w="100"/>
            </w:tcMar>
            <w:vAlign w:val="center"/>
          </w:tcPr>
          <w:p>
            <w:r>
              <w:rPr>
                <w:rFonts w:ascii="Arial" w:cs="Arial" w:eastAsia="Arial" w:hAnsi="Arial"/>
                <w:b/>
                <w:bCs/>
                <w:color w:val="1F4E79"/>
                <w:sz w:val="17"/>
                <w:szCs w:val="17"/>
              </w:rPr>
              <w:t xml:space="preserve">Public Health Sciences</w:t>
            </w:r>
          </w:p>
        </w:tc>
        <w:tc>
          <w:tcPr>
            <w:tcW w:type="dxa" w:w="48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4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Fragile X Syndrome &amp; Genetic Implications</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0.76</w:t>
            </w:r>
          </w:p>
        </w:tc>
        <w:tc>
          <w:tcPr>
            <w:tcW w:type="dxa" w:w="30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88.2%</w:t>
            </w:r>
          </w:p>
        </w:tc>
      </w:tr>
      <w:tr>
        <w:tc>
          <w:tcPr>
            <w:tcW w:type="dxa" w:w="2400"/>
            <w:tcBorders>
              <w:top w:val="single" w:color="B8CCE4" w:sz="1"/>
              <w:left w:val="single" w:color="B8CCE4" w:sz="1"/>
              <w:bottom w:val="single" w:color="B8CCE4" w:sz="1"/>
              <w:right w:val="single" w:color="B8CCE4" w:sz="1"/>
            </w:tcBorders>
            <w:shd w:fill="D6EAD0"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4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Supportive Care for Young Cancer Survivors</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3.67</w:t>
            </w:r>
          </w:p>
        </w:tc>
        <w:tc>
          <w:tcPr>
            <w:tcW w:type="dxa" w:w="30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95.3%</w:t>
            </w:r>
          </w:p>
        </w:tc>
      </w:tr>
      <w:tr>
        <w:tc>
          <w:tcPr>
            <w:tcW w:type="dxa" w:w="2400"/>
            <w:tcBorders>
              <w:top w:val="single" w:color="B8CCE4" w:sz="1"/>
              <w:left w:val="single" w:color="B8CCE4" w:sz="1"/>
              <w:bottom w:val="single" w:color="B8CCE4" w:sz="1"/>
              <w:right w:val="single" w:color="B8CCE4" w:sz="1"/>
            </w:tcBorders>
            <w:shd w:fill="D6EAD0"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4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Cognitive Disparities in Alzheimer's Disease</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2.62</w:t>
            </w:r>
          </w:p>
        </w:tc>
        <w:tc>
          <w:tcPr>
            <w:tcW w:type="dxa" w:w="30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90.4%</w:t>
            </w:r>
          </w:p>
        </w:tc>
      </w:tr>
      <w:tr>
        <w:tc>
          <w:tcPr>
            <w:tcW w:type="dxa" w:w="2400"/>
            <w:tcBorders>
              <w:top w:val="single" w:color="B8CCE4" w:sz="1"/>
              <w:left w:val="single" w:color="B8CCE4" w:sz="1"/>
              <w:bottom w:val="single" w:color="B8CCE4" w:sz="1"/>
              <w:right w:val="single" w:color="B8CCE4" w:sz="1"/>
            </w:tcBorders>
            <w:shd w:fill="D6EAD0"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4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Tau Imaging &amp; Biomarkers in Alzheimer's Disease</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4.63</w:t>
            </w:r>
          </w:p>
        </w:tc>
        <w:tc>
          <w:tcPr>
            <w:tcW w:type="dxa" w:w="30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99.6%</w:t>
            </w:r>
          </w:p>
        </w:tc>
      </w:tr>
      <w:tr>
        <w:tc>
          <w:tcPr>
            <w:tcW w:type="dxa" w:w="2400"/>
            <w:tcBorders>
              <w:top w:val="single" w:color="B8CCE4" w:sz="1"/>
              <w:left w:val="single" w:color="B8CCE4" w:sz="1"/>
              <w:bottom w:val="single" w:color="B8CCE4" w:sz="1"/>
              <w:right w:val="single" w:color="B8CCE4" w:sz="1"/>
            </w:tcBorders>
            <w:shd w:fill="D6EAD0"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
            </w:r>
          </w:p>
        </w:tc>
        <w:tc>
          <w:tcPr>
            <w:tcW w:type="dxa" w:w="48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45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DNA Methylation &amp; Epigenetic Age Associations</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26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1.47</w:t>
            </w:r>
          </w:p>
        </w:tc>
        <w:tc>
          <w:tcPr>
            <w:tcW w:type="dxa" w:w="3000"/>
            <w:gridSpan w:val="1"/>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99.7%</w:t>
            </w:r>
          </w:p>
        </w:tc>
      </w:tr>
      <w:tr>
        <w:tc>
          <w:tcPr>
            <w:tcW w:type="dxa" w:w="12960"/>
            <w:gridSpan w:val="6"/>
            <w:tcBorders>
              <w:top w:val="single" w:color="B8CCE4" w:sz="1"/>
              <w:left w:val="single" w:color="B8CCE4" w:sz="1"/>
              <w:bottom w:val="single" w:color="B8CCE4" w:sz="1"/>
              <w:right w:val="single" w:color="B8CCE4" w:sz="1"/>
            </w:tcBorders>
            <w:shd w:fill="F2F2F2" w:val="clear"/>
            <w:tcMar>
              <w:top w:type="dxa" w:w="60"/>
              <w:left w:type="dxa" w:w="120"/>
              <w:bottom w:type="dxa" w:w="60"/>
              <w:right w:type="dxa" w:w="120"/>
            </w:tcMar>
          </w:tcPr>
          <w:p>
            <w:r>
              <w:rPr>
                <w:rFonts w:ascii="Arial" w:cs="Arial" w:eastAsia="Arial" w:hAnsi="Arial"/>
                <w:i/>
                <w:iCs/>
                <w:color w:val="595959"/>
                <w:sz w:val="14"/>
                <w:szCs w:val="14"/>
              </w:rPr>
              <w:t xml:space="preserve">Source: SciVal Explore &gt; Research Topics, March 2026. Prominence Percentile reflects global ranking of topic momentum (citations, views, online attention). FWCI shown per topic cluster.</w:t>
            </w:r>
          </w:p>
        </w:tc>
      </w:tr>
    </w:tbl>
    <w:p>
      <w:pPr>
        <w:spacing w:after="400"/>
      </w:pPr>
    </w:p>
    <w:sectPr>
      <w:headerReference w:type="default" r:id="rId7"/>
      <w:footerReference w:type="default" r:id="rId8"/>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6"/>
        <w:szCs w:val="16"/>
      </w:rPr>
      <w:t xml:space="preserve">Prepared March 2026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18"/>
        <w:szCs w:val="18"/>
      </w:rPr>
      <w:t xml:space="preserve">UC Davis School of Medicine — Basic Sciences</w:t>
    </w:r>
    <w:r>
      <w:rPr>
        <w:rFonts w:ascii="Arial" w:cs="Arial" w:eastAsia="Arial" w:hAnsi="Arial"/>
        <w:color w:val="595959"/>
        <w:sz w:val="18"/>
        <w:szCs w:val="18"/>
      </w:rPr>
      <w:t xml:space="preserve">   |   SciVal Research Metrics Report 2020–2024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2026-03-20T21:50:49.819Z</dcterms:created>
  <dcterms:modified xsi:type="dcterms:W3CDTF">2026-03-20T21:50:49.819Z</dcterms:modified>
</cp:coreProperties>
</file>

<file path=docProps/custom.xml><?xml version="1.0" encoding="utf-8"?>
<Properties xmlns="http://schemas.openxmlformats.org/officeDocument/2006/custom-properties" xmlns:vt="http://schemas.openxmlformats.org/officeDocument/2006/docPropsVTypes"/>
</file>