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1.png" ContentType="image/png"/>
  <Override PartName="/word/media/rId17.png" ContentType="image/png"/>
  <Override PartName="/word/media/rId25.png" ContentType="image/png"/>
  <Override PartName="/word/media/rId1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2026-06-25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The rest of this article applies</w:t>
            </w:r>
            <w:r>
              <w:t xml:space="preserve"> </w:t>
            </w:r>
            <w:r>
              <w:rPr>
                <w:b/>
                <w:bCs/>
              </w:rPr>
              <w:t xml:space="preserve">inverse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probability weights</w:t>
            </w:r>
            <w:r>
              <w:t xml:space="preserve"> </w:t>
            </w:r>
            <w:r>
              <w:t xml:space="preserve">(IPW) to correct for the different censoring mechanisms</w:t>
            </w:r>
            <w:r>
              <w:t xml:space="preserve"> </w:t>
            </w:r>
            <w:r>
              <w:t xml:space="preserve">in each arm, then fits the weighted outcome model and bootstraps a confidence</w:t>
            </w:r>
            <w:r>
              <w:t xml:space="preserve"> </w:t>
            </w:r>
            <w:r>
              <w:t xml:space="preserve">interval.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 analysis on the real cohort.</w:t>
            </w:r>
          </w:p>
          <w:p/>
        </w:tc>
      </w:tr>
    </w:tbl>
    <w:bookmarkEnd w:id="32"/>
    <w:bookmarkStart w:id="33" w:name="a-larger-simulated-cohort"/>
    <w:p>
      <w:pPr>
        <w:pStyle w:val="Heading2"/>
      </w:pPr>
      <w:r>
        <w:t xml:space="preserve">6 A Larger Simulated Cohort</w:t>
      </w:r>
    </w:p>
    <w:p>
      <w:pPr>
        <w:pStyle w:val="FirstParagraph"/>
      </w:pPr>
      <w:r>
        <w:t xml:space="preserve">The 100-participant dataset above is convenient for showing the data</w:t>
      </w:r>
      <w:r>
        <w:t xml:space="preserve"> </w:t>
      </w:r>
      <w:r>
        <w:t xml:space="preserve">structure, but it is too small to fit a stable weighted outcome model: with so</w:t>
      </w:r>
      <w:r>
        <w:t xml:space="preserve"> </w:t>
      </w:r>
      <w:r>
        <w:t xml:space="preserve">few deaths the screening-propensity model separates and the resulting weights</w:t>
      </w:r>
      <w:r>
        <w:t xml:space="preserve"> </w:t>
      </w:r>
      <w:r>
        <w:t xml:space="preserve">are erratic. For the weighted analysis we simulate a larger cohort with</w:t>
      </w:r>
      <w:r>
        <w:t xml:space="preserve"> </w:t>
      </w:r>
      <w:r>
        <w:rPr>
          <w:rStyle w:val="VerbatimChar"/>
        </w:rPr>
        <w:t xml:space="preserve">simulate_screening_cohort()</w:t>
      </w:r>
      <w:r>
        <w:t xml:space="preserve">, which returns the same three linked tables.</w:t>
      </w:r>
    </w:p>
    <w:p>
      <w:pPr>
        <w:pStyle w:val="BodyText"/>
      </w:pPr>
      <w:r>
        <w:t xml:space="preserve">The simulation builds in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screening effect on mortality, so the honest</w:t>
      </w:r>
      <w:r>
        <w:t xml:space="preserve"> </w:t>
      </w:r>
      <w:r>
        <w:t xml:space="preserve">expectation is a null result: the two arms should look alike, and the weighted</w:t>
      </w:r>
      <w:r>
        <w:t xml:space="preserve"> </w:t>
      </w:r>
      <w:r>
        <w:t xml:space="preserve">contrast should sit near no difference. What the rest of the article</w:t>
      </w:r>
      <w:r>
        <w:t xml:space="preserve"> </w:t>
      </w:r>
      <w:r>
        <w:t xml:space="preserve">demonstrates is that the machinery runs end to end and recovers that null, not</w:t>
      </w:r>
      <w:r>
        <w:t xml:space="preserve"> </w:t>
      </w:r>
      <w:r>
        <w:t xml:space="preserve">a substantive estimate; a real reproduction needs the Medicare cohort and the</w:t>
      </w:r>
      <w:r>
        <w:t xml:space="preserve"> </w:t>
      </w:r>
      <w:r>
        <w:t xml:space="preserve">paper’s full covariate set.</w:t>
      </w:r>
    </w:p>
    <w:p>
      <w:pPr>
        <w:pStyle w:val="SourceCode"/>
      </w:pP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simulate_screening_cohort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cloned_l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cohort,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(cloned_l)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augment_long_covariates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long_l,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(long_l) </w:t>
      </w:r>
      <w:r>
        <w:rPr>
          <w:rStyle w:val="CommentTok"/>
        </w:rPr>
        <w:t xml:space="preserve"># person-arm-months</w:t>
      </w:r>
      <w:r>
        <w:br/>
      </w:r>
      <w:r>
        <w:rPr>
          <w:rStyle w:val="CommentTok"/>
        </w:rPr>
        <w:t xml:space="preserve">#&gt; [1] 73469</w:t>
      </w:r>
    </w:p>
    <w:bookmarkEnd w:id="33"/>
    <w:bookmarkStart w:id="34" w:name="step-4-inverse-probability-weights"/>
    <w:p>
      <w:pPr>
        <w:pStyle w:val="Heading2"/>
      </w:pPr>
      <w:r>
        <w:t xml:space="preserve">7 Step 4: Inverse Probability Weights</w:t>
      </w:r>
    </w:p>
    <w:p>
      <w:pPr>
        <w:pStyle w:val="FirstParagraph"/>
      </w:pPr>
      <w:r>
        <w:rPr>
          <w:rStyle w:val="VerbatimChar"/>
        </w:rPr>
        <w:t xml:space="preserve">fit_screening_propensity()</w:t>
      </w:r>
      <w:r>
        <w:t xml:space="preserve"> </w:t>
      </w:r>
      <w:r>
        <w:t xml:space="preserve">fits the pooled logistic model for the</w:t>
      </w:r>
      <w:r>
        <w:t xml:space="preserve"> </w:t>
      </w:r>
      <w:r>
        <w:t xml:space="preserve">probability of a screening mammogram at each eligible month (the SAS</w:t>
      </w:r>
      <w:r>
        <w:t xml:space="preserve"> </w:t>
      </w:r>
      <w:r>
        <w:rPr>
          <w:rStyle w:val="VerbatimChar"/>
        </w:rPr>
        <w:t xml:space="preserve">cann17b</w:t>
      </w:r>
      <w:r>
        <w:t xml:space="preserve"> </w:t>
      </w:r>
      <w:r>
        <w:t xml:space="preserve">denominator), and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 </w:t>
      </w:r>
      <w:r>
        <w:t xml:space="preserve">turns those probabilities into</w:t>
      </w:r>
      <w:r>
        <w:t xml:space="preserve"> </w:t>
      </w:r>
      <w:r>
        <w:t xml:space="preserve">stabilized per-arm weights, truncated at the 99th percentile within each arm.</w:t>
      </w:r>
    </w:p>
    <w:p>
      <w:pPr>
        <w:pStyle w:val="SourceCode"/>
      </w:pPr>
      <w:r>
        <w:rPr>
          <w:rStyle w:val="NormalTok"/>
        </w:rPr>
        <w:t xml:space="preserve">propensity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fit_screening_propensity</w:t>
      </w:r>
      <w:r>
        <w:rPr>
          <w:rStyle w:val="NormalTok"/>
        </w:rPr>
        <w:t xml:space="preserve">(long_l)</w:t>
      </w:r>
      <w:r>
        <w:br/>
      </w:r>
      <w:r>
        <w:rPr>
          <w:rStyle w:val="NormalTok"/>
        </w:rPr>
        <w:t xml:space="preserve">weighted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compute_ipw_weights</w:t>
      </w:r>
      <w:r>
        <w:rPr>
          <w:rStyle w:val="NormalTok"/>
        </w:rPr>
        <w:t xml:space="preserve">(propensity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Stabilized, truncated weights are centered near 1 in both arms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wp99, 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arm), summary)),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Min. 1st Qu. Median Mean 3rd Qu.  Max.</w:t>
      </w:r>
      <w:r>
        <w:br/>
      </w:r>
      <w:r>
        <w:rPr>
          <w:rStyle w:val="CommentTok"/>
        </w:rPr>
        <w:t xml:space="preserve">#&gt; CONTINUE    0       1   1.33 2.10    2.17 15.35</w:t>
      </w:r>
      <w:r>
        <w:br/>
      </w:r>
      <w:r>
        <w:rPr>
          <w:rStyle w:val="CommentTok"/>
        </w:rPr>
        <w:t xml:space="preserve">#&gt; STOPBASE    1       1   1.00 5.07   10.15 37.88</w:t>
      </w:r>
    </w:p>
    <w:bookmarkEnd w:id="34"/>
    <w:bookmarkStart w:id="35" w:name="step-5-weighted-outcome-model"/>
    <w:p>
      <w:pPr>
        <w:pStyle w:val="Heading2"/>
      </w:pPr>
      <w:r>
        <w:t xml:space="preserve">8 Step 5: Weighted Outcome Model</w:t>
      </w:r>
    </w:p>
    <w:p>
      <w:pPr>
        <w:pStyle w:val="FirstParagraph"/>
      </w:pPr>
      <w:r>
        <w:rPr>
          <w:rStyle w:val="VerbatimChar"/>
        </w:rPr>
        <w:t xml:space="preserve">fit_outcome_hr()</w:t>
      </w:r>
      <w:r>
        <w:t xml:space="preserve"> </w:t>
      </w:r>
      <w:r>
        <w:t xml:space="preserve">fits the IP-weighted pooled logistic outcome model, with</w:t>
      </w:r>
      <w:r>
        <w:t xml:space="preserve"> </w:t>
      </w:r>
      <w:r>
        <w:t xml:space="preserve">follow-up time entered through a restricted cubic spline and an arm-by-time</w:t>
      </w:r>
      <w:r>
        <w:t xml:space="preserve"> </w:t>
      </w:r>
      <w:r>
        <w:t xml:space="preserve">interaction. The reported odds ratio approximates the hazard ratio for the</w:t>
      </w:r>
      <w:r>
        <w:t xml:space="preserve"> </w:t>
      </w:r>
      <w:r>
        <w:t xml:space="preserve">STOPBASE arm relative to CONTINUE.</w:t>
      </w:r>
    </w:p>
    <w:p>
      <w:pPr>
        <w:pStyle w:val="SourceCode"/>
      </w:pPr>
      <w:r>
        <w:rPr>
          <w:rStyle w:val="NormalTok"/>
        </w:rPr>
        <w:t xml:space="preserve">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fit_outcome_hr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or,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or_ci),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OR  2.5 % 97.5 % </w:t>
      </w:r>
      <w:r>
        <w:br/>
      </w:r>
      <w:r>
        <w:rPr>
          <w:rStyle w:val="CommentTok"/>
        </w:rPr>
        <w:t xml:space="preserve">#&gt;  0.976  0.669  1.422</w:t>
      </w:r>
    </w:p>
    <w:p>
      <w:pPr>
        <w:pStyle w:val="FirstParagraph"/>
      </w:pPr>
      <w:r>
        <w:t xml:space="preserve">As expected under a simulation with no built-in effect, the odds ratio sits</w:t>
      </w:r>
      <w:r>
        <w:t xml:space="preserve"> </w:t>
      </w:r>
      <w:r>
        <w:t xml:space="preserve">near 1 and its confidence interval covers the null.</w:t>
      </w:r>
    </w:p>
    <w:bookmarkEnd w:id="35"/>
    <w:bookmarkStart w:id="40" w:name="step-6-standardized-survival-curves"/>
    <w:p>
      <w:pPr>
        <w:pStyle w:val="Heading2"/>
      </w:pPr>
      <w:r>
        <w:t xml:space="preserve">9 Step 6: Standardized Survival Curves</w:t>
      </w:r>
    </w:p>
    <w:p>
      <w:pPr>
        <w:pStyle w:val="FirstParagraph"/>
      </w:pPr>
      <w:r>
        <w:rPr>
          <w:rStyle w:val="VerbatimChar"/>
        </w:rPr>
        <w:t xml:space="preserve">predict_survival_ipw()</w:t>
      </w:r>
      <w:r>
        <w:t xml:space="preserve"> </w:t>
      </w:r>
      <w:r>
        <w:t xml:space="preserve">applies g-computation to the weighted model, averaging</w:t>
      </w:r>
      <w:r>
        <w:t xml:space="preserve"> </w:t>
      </w:r>
      <w:r>
        <w:t xml:space="preserve">the predicted survival over the cohort to produce a marginal survival curve for</w:t>
      </w:r>
      <w:r>
        <w:t xml:space="preserve"> </w:t>
      </w:r>
      <w:r>
        <w:t xml:space="preserve">each arm.</w:t>
      </w:r>
    </w:p>
    <w:p>
      <w:pPr>
        <w:pStyle w:val="SourceCode"/>
      </w:pPr>
      <w:r>
        <w:rPr>
          <w:rStyle w:val="NormalTok"/>
        </w:rPr>
        <w:t xml:space="preserve">surv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predict_survival_ipw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"IP-weighted survival by arm"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s_continue,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s_stopbase,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ipw-survival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ipw-survival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IP-weighted marginal survival by arm. The arms track each other closely, consistent with the null effect built into the simulation.</w:t>
            </w:r>
          </w:p>
          <w:bookmarkEnd w:id="39"/>
        </w:tc>
      </w:tr>
    </w:tbl>
    <w:bookmarkEnd w:id="40"/>
    <w:bookmarkStart w:id="45" w:name="step-7-bootstrap-confidence-intervals"/>
    <w:p>
      <w:pPr>
        <w:pStyle w:val="Heading2"/>
      </w:pPr>
      <w:r>
        <w:t xml:space="preserve">10 Step 7: Bootstrap Confidence Intervals</w:t>
      </w:r>
    </w:p>
    <w:p>
      <w:pPr>
        <w:pStyle w:val="FirstParagraph"/>
      </w:pPr>
      <w:r>
        <w:rPr>
          <w:rStyle w:val="VerbatimChar"/>
        </w:rPr>
        <w:t xml:space="preserve">bootstrap_ci()</w:t>
      </w:r>
      <w:r>
        <w:t xml:space="preserve"> </w:t>
      </w:r>
      <w:r>
        <w:t xml:space="preserve">resamples participants, recomputes the weights and survival</w:t>
      </w:r>
      <w:r>
        <w:t xml:space="preserve"> </w:t>
      </w:r>
      <w:r>
        <w:t xml:space="preserve">curves on each resample, and returns percentile confidence intervals for the</w:t>
      </w:r>
      <w:r>
        <w:t xml:space="preserve"> </w:t>
      </w:r>
      <w:r>
        <w:t xml:space="preserve">month-by-month survival difference between arms. The number of resamples is</w:t>
      </w:r>
      <w:r>
        <w:t xml:space="preserve"> </w:t>
      </w:r>
      <w:r>
        <w:t xml:space="preserve">kept small here so the article renders quickly; a real analysis uses several</w:t>
      </w:r>
      <w:r>
        <w:t xml:space="preserve"> </w:t>
      </w:r>
      <w:r>
        <w:t xml:space="preserve">hundred.</w:t>
      </w:r>
    </w:p>
    <w:p>
      <w:pPr>
        <w:pStyle w:val="SourceCode"/>
      </w:pPr>
      <w:r>
        <w:rPr>
          <w:rStyle w:val="NormalTok"/>
        </w:rPr>
        <w:t xml:space="preserve">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bootstrap_ci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difference (CONTINUE - STOPBASE)"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survival difference with 95% CI"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polygon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"#222222"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oot-diff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boot-dif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Bootstrap survival difference (CONTINUE minus STOPBASE) with a 95 percent percentile confidence band. The band covers zero throughout, the expected null.</w:t>
            </w:r>
          </w:p>
          <w:bookmarkEnd w:id="44"/>
        </w:tc>
      </w:tr>
    </w:tbl>
    <w:bookmarkEnd w:id="45"/>
    <w:bookmarkStart w:id="48" w:name="summary"/>
    <w:p>
      <w:pPr>
        <w:pStyle w:val="Heading2"/>
      </w:pPr>
      <w:r>
        <w:t xml:space="preserve">11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full clone-censor-reweight pipeline: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simulate_screening_cohort()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linked synthetic tables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augment_long_covariates()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time-varying screening covariates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fit_screening_propensity()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augmented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screening probabilities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compute_ipw_weights()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stabilized IPW weights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fit_outcome_hr()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hazard 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predict_survival_ipw()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marginal survival curves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bootstrap_ci()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survival difference with CI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Run on the synthetic cohort, the pipeline recovers the null effect the</w:t>
      </w:r>
      <w:r>
        <w:t xml:space="preserve"> </w:t>
      </w:r>
      <w:r>
        <w:t xml:space="preserve">simulation was built with. Pointed at a real Medicare cohort with the paper’s</w:t>
      </w:r>
      <w:r>
        <w:t xml:space="preserve"> </w:t>
      </w:r>
      <w:r>
        <w:t xml:space="preserve">full covariate set, the same functions reproduce the substantive analysis of</w:t>
      </w:r>
      <w:r>
        <w:t xml:space="preserve"> </w:t>
      </w:r>
      <w:r>
        <w:t xml:space="preserve">García-Albéniz et al. (2020)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48"/>
    <w:bookmarkStart w:id="54" w:name="references"/>
    <w:p>
      <w:pPr>
        <w:pStyle w:val="Heading2"/>
      </w:pPr>
      <w:r>
        <w:t xml:space="preserve">12 References</w:t>
      </w:r>
    </w:p>
    <w:bookmarkStart w:id="53" w:name="refs"/>
    <w:bookmarkStart w:id="50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49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50"/>
    <w:bookmarkStart w:id="52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51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36" Target="media/rId36.png" /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2026-06-25T17:21:32Z</dcterms:created>
  <dcterms:modified xsi:type="dcterms:W3CDTF">2026-06-25T17:21:32Z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vignette">
    <vt:lpwstr>% % %</vt:lpwstr>
  </property>
</Properties>
</file>