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(ettbc)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rStyle w:val="VerbatimChar"/>
        </w:rPr>
        <w:t xml:space="preserve">{ettbc}</w:t>
      </w:r>
      <w:r>
        <w:t xml:space="preserve"> </w:t>
      </w:r>
      <w:r>
        <w:t xml:space="preserve">emulates a target trial of screening mammography for breast cancer,</w:t>
      </w:r>
      <w:r>
        <w:t xml:space="preserve"> </w:t>
      </w:r>
      <w:r>
        <w:t xml:space="preserve">following the clone-censor-reweight methodology of García-Albéniz et al.</w:t>
      </w:r>
      <w:r>
        <w:t xml:space="preserve"> </w:t>
      </w:r>
      <w:r>
        <w:t xml:space="preserve">(2020). This vignette walks through the first two steps of the pipeline on</w:t>
      </w:r>
      <w:r>
        <w:t xml:space="preserve"> </w:t>
      </w:r>
      <w:r>
        <w:t xml:space="preserve">the package’s synthetic example data. For the full analysis — including</w:t>
      </w:r>
      <w:r>
        <w:t xml:space="preserve"> </w:t>
      </w:r>
      <w:r>
        <w:t xml:space="preserve">inverse-probability weighting, the outcome model, survival curves, and</w:t>
      </w:r>
      <w:r>
        <w:t xml:space="preserve"> </w:t>
      </w:r>
      <w:r>
        <w:t xml:space="preserve">bootstrap confidence intervals — see the article</w:t>
      </w:r>
      <w:r>
        <w:t xml:space="preserve"> </w:t>
      </w:r>
      <w:r>
        <w:t xml:space="preserve">“Using ettbc”</w:t>
      </w:r>
      <w:r>
        <w:t xml:space="preserve">.</w:t>
      </w:r>
    </w:p>
    <w:bookmarkEnd w:id="9"/>
    <w:bookmarkStart w:id="10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three synthetic datasets that mimic the structure of the</w:t>
      </w:r>
      <w:r>
        <w:t xml:space="preserve"> </w:t>
      </w:r>
      <w:r>
        <w:t xml:space="preserve">original study data: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bookmarkEnd w:id="10"/>
    <w:bookmarkStart w:id="11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replicates each participant into two trial arms — STOPBASE</w:t>
      </w:r>
      <w:r>
        <w:t xml:space="preserve"> </w:t>
      </w:r>
      <w:r>
        <w:t xml:space="preserve">(stop screening at entry) and CONTINUE (continue annual screening) — and</w:t>
      </w:r>
      <w:r>
        <w:t xml:space="preserve"> </w:t>
      </w:r>
      <w:r>
        <w:t xml:space="preserve">applies each arm’s censoring rule: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two rows per participant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fup bc_died</w:t>
      </w:r>
      <w:r>
        <w:br/>
      </w:r>
      <w:r>
        <w:rPr>
          <w:rStyle w:val="CommentTok"/>
        </w:rPr>
        <w:t xml:space="preserve">#&gt; 1  1 STOPBASE          26        38  13       0</w:t>
      </w:r>
      <w:r>
        <w:br/>
      </w:r>
      <w:r>
        <w:rPr>
          <w:rStyle w:val="CommentTok"/>
        </w:rPr>
        <w:t xml:space="preserve">#&gt; 2  2 STOPBASE          33        45  13       0</w:t>
      </w:r>
      <w:r>
        <w:br/>
      </w:r>
      <w:r>
        <w:rPr>
          <w:rStyle w:val="CommentTok"/>
        </w:rPr>
        <w:t xml:space="preserve">#&gt; 3  3 STOPBASE          28        42  15       0</w:t>
      </w:r>
      <w:r>
        <w:br/>
      </w:r>
      <w:r>
        <w:rPr>
          <w:rStyle w:val="CommentTok"/>
        </w:rPr>
        <w:t xml:space="preserve">#&gt; 4  4 STOPBASE           1        12  12       0</w:t>
      </w:r>
      <w:r>
        <w:br/>
      </w:r>
      <w:r>
        <w:rPr>
          <w:rStyle w:val="CommentTok"/>
        </w:rPr>
        <w:t xml:space="preserve">#&gt; 5  5 STOPBASE          17        28  12       0</w:t>
      </w:r>
      <w:r>
        <w:br/>
      </w:r>
      <w:r>
        <w:rPr>
          <w:rStyle w:val="CommentTok"/>
        </w:rPr>
        <w:t xml:space="preserve">#&gt; 6  6 STOPBASE          40        52  13       0</w:t>
      </w:r>
    </w:p>
    <w:bookmarkEnd w:id="11"/>
    <w:bookmarkStart w:id="12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 to one row per</w:t>
      </w:r>
      <w:r>
        <w:t xml:space="preserve"> </w:t>
      </w:r>
      <w:r>
        <w:t xml:space="preserve">participant-arm-month, ready for discrete-time survival analysis:</w:t>
      </w:r>
    </w:p>
    <w:p>
      <w:pPr>
        <w:pStyle w:val="SourceCode"/>
      </w:pPr>
      <w:r>
        <w:rPr>
          <w:rStyle w:val="NormalTok"/>
        </w:rPr>
        <w:t xml:space="preserve">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"month2"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month month2 dead_t1</w:t>
      </w:r>
      <w:r>
        <w:br/>
      </w:r>
      <w:r>
        <w:rPr>
          <w:rStyle w:val="CommentTok"/>
        </w:rPr>
        <w:t xml:space="preserve">#&gt; 1  1 STOPBASE    26      0       0</w:t>
      </w:r>
      <w:r>
        <w:br/>
      </w:r>
      <w:r>
        <w:rPr>
          <w:rStyle w:val="CommentTok"/>
        </w:rPr>
        <w:t xml:space="preserve">#&gt; 2  1 STOPBASE    27      1       0</w:t>
      </w:r>
      <w:r>
        <w:br/>
      </w:r>
      <w:r>
        <w:rPr>
          <w:rStyle w:val="CommentTok"/>
        </w:rPr>
        <w:t xml:space="preserve">#&gt; 3  1 STOPBASE    28      2       0</w:t>
      </w:r>
      <w:r>
        <w:br/>
      </w:r>
      <w:r>
        <w:rPr>
          <w:rStyle w:val="CommentTok"/>
        </w:rPr>
        <w:t xml:space="preserve">#&gt; 4  1 STOPBASE    29      3       0</w:t>
      </w:r>
      <w:r>
        <w:br/>
      </w:r>
      <w:r>
        <w:rPr>
          <w:rStyle w:val="CommentTok"/>
        </w:rPr>
        <w:t xml:space="preserve">#&gt; 5  1 STOPBASE    30      4       0</w:t>
      </w:r>
      <w:r>
        <w:br/>
      </w:r>
      <w:r>
        <w:rPr>
          <w:rStyle w:val="CommentTok"/>
        </w:rPr>
        <w:t xml:space="preserve">#&gt; 6  1 STOPBASE    31      5       0</w:t>
      </w:r>
    </w:p>
    <w:bookmarkEnd w:id="12"/>
    <w:bookmarkStart w:id="13" w:name="next-steps"/>
    <w:p>
      <w:pPr>
        <w:pStyle w:val="Heading2"/>
      </w:pPr>
      <w:r>
        <w:t xml:space="preserve">5 Next Steps</w:t>
      </w:r>
    </w:p>
    <w:p>
      <w:pPr>
        <w:pStyle w:val="FirstParagraph"/>
      </w:pPr>
      <w:r>
        <w:t xml:space="preserve">From the long-format data you can compute inverse-probability weights with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, fit the outcome model with</w:t>
      </w:r>
      <w:r>
        <w:t xml:space="preserve"> </w:t>
      </w:r>
      <w:r>
        <w:rPr>
          <w:rStyle w:val="VerbatimChar"/>
        </w:rPr>
        <w:t xml:space="preserve">fit_outcome_hr()</w:t>
      </w:r>
      <w:r>
        <w:t xml:space="preserve">,</w:t>
      </w:r>
      <w:r>
        <w:t xml:space="preserve"> </w:t>
      </w:r>
      <w:r>
        <w:t xml:space="preserve">estimate marginal survival curves with the</w:t>
      </w:r>
      <w:r>
        <w:t xml:space="preserve"> </w:t>
      </w:r>
      <w:r>
        <w:rPr>
          <w:rStyle w:val="VerbatimChar"/>
        </w:rPr>
        <w:t xml:space="preserve">predict_survival_*()</w:t>
      </w:r>
      <w:r>
        <w:t xml:space="preserve"> </w:t>
      </w:r>
      <w:r>
        <w:t xml:space="preserve">functions,</w:t>
      </w:r>
      <w:r>
        <w:t xml:space="preserve"> </w:t>
      </w:r>
      <w:r>
        <w:t xml:space="preserve">and obtain confidence intervals with</w:t>
      </w:r>
      <w:r>
        <w:t xml:space="preserve"> </w:t>
      </w:r>
      <w:r>
        <w:rPr>
          <w:rStyle w:val="VerbatimChar"/>
        </w:rPr>
        <w:t xml:space="preserve">bootstrap_ci()</w:t>
      </w:r>
      <w:r>
        <w:t xml:space="preserve">. The article</w:t>
      </w:r>
      <w:r>
        <w:t xml:space="preserve"> </w:t>
      </w:r>
      <w:r>
        <w:t xml:space="preserve">“Using ettbc”</w:t>
      </w:r>
      <w:r>
        <w:t xml:space="preserve"> </w:t>
      </w:r>
      <w:r>
        <w:t xml:space="preserve">demonstrates the full pipeline.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2026-06-25T15:32:51Z</dcterms:created>
  <dcterms:modified xsi:type="dcterms:W3CDTF">2026-06-25T15:32:51Z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