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13"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m:oMathPara>
          </w:p>
          <w:bookmarkEnd w:id="9"/>
        </w:tc>
      </w:tr>
    </w:tbl>
    <w:bookmarkStart w:id="10"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e>
        </m:d>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e>
        </m:d>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10"/>
    <w:bookmarkStart w:id="12"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rPr>
            <m:nor/>
            <m:sty m:val="p"/>
          </m:rPr>
          <m:t>E</m:t>
        </m:r>
        <m:d>
          <m:dPr>
            <m:begChr m:val="["/>
            <m:sepChr m:val=""/>
            <m:endChr m:val="]"/>
            <m:grow/>
          </m:dPr>
          <m:e>
            <m:sSup>
              <m:e>
                <m:r>
                  <m:t>Y</m:t>
                </m:r>
              </m:e>
              <m:sup>
                <m:r>
                  <m:t>a</m:t>
                </m:r>
                <m:r>
                  <m:rPr>
                    <m:sty m:val="p"/>
                  </m:rPr>
                  <m:t>=</m:t>
                </m:r>
                <m:r>
                  <m:t>1</m:t>
                </m:r>
              </m:sup>
            </m:sSup>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e>
        </m:d>
      </m:oMath>
    </w:p>
    <w:p>
      <w:pPr>
        <w:pStyle w:val="Compact"/>
        <w:numPr>
          <w:ilvl w:val="0"/>
          <w:numId w:val="1004"/>
        </w:numPr>
      </w:pPr>
      <w:r>
        <w:rPr>
          <w:b/>
          <w:bCs/>
        </w:rPr>
        <w:t xml:space="preserve">Risk ratio scale</w:t>
      </w:r>
      <w:r>
        <w:t xml:space="preserve">:</w:t>
      </w:r>
      <w:r>
        <w:t xml:space="preserve"> </w:t>
      </w:r>
      <m:oMath>
        <m:r>
          <m:rPr>
            <m:nor/>
            <m:sty m:val="p"/>
          </m:rPr>
          <m:t>E</m:t>
        </m:r>
        <m:d>
          <m:dPr>
            <m:begChr m:val="["/>
            <m:sepChr m:val=""/>
            <m:endChr m:val="]"/>
            <m:grow/>
          </m:dPr>
          <m:e>
            <m:sSup>
              <m:e>
                <m:r>
                  <m:t>Y</m:t>
                </m:r>
              </m:e>
              <m:sup>
                <m:r>
                  <m:t>a</m:t>
                </m:r>
                <m:r>
                  <m:rPr>
                    <m:sty m:val="p"/>
                  </m:rPr>
                  <m:t>=</m:t>
                </m:r>
                <m:r>
                  <m:t>1</m:t>
                </m:r>
              </m:sup>
            </m:sSup>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e>
        </m:d>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exm-scale-dependent"/>
          <w:p>
            <w:pPr>
              <w:pStyle w:val="BodyText"/>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t>0.2</m:t>
              </m:r>
            </m:oMath>
            <w:r>
              <w:t xml:space="preserve">,</w:t>
            </w:r>
            <w:r>
              <w:t xml:space="preserve"> </w:t>
            </w:r>
            <m:oMath>
              <m:r>
                <m:rPr>
                  <m:nor/>
                  <m:sty m:val="p"/>
                </m:rPr>
                <m:t>E</m:t>
              </m:r>
              <m:d>
                <m:dPr>
                  <m:begChr m:val="["/>
                  <m:sepChr m:val=""/>
                  <m:endChr m:val="]"/>
                  <m:grow/>
                </m:dPr>
                <m:e>
                  <m:sSup>
                    <m:e>
                      <m:r>
                        <m:t>Y</m:t>
                      </m:r>
                    </m:e>
                    <m:sup>
                      <m:r>
                        <m:t>a</m:t>
                      </m:r>
                      <m:r>
                        <m:rPr>
                          <m:sty m:val="p"/>
                        </m:rPr>
                        <m:t>=</m:t>
                      </m:r>
                      <m:r>
                        <m:t>0</m:t>
                      </m:r>
                    </m:sup>
                  </m:sSup>
                </m:e>
              </m:d>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t>0.4</m:t>
              </m:r>
            </m:oMath>
            <w:r>
              <w:t xml:space="preserve">,</w:t>
            </w:r>
            <w:r>
              <w:t xml:space="preserve"> </w:t>
            </w:r>
            <m:oMath>
              <m:r>
                <m:rPr>
                  <m:nor/>
                  <m:sty m:val="p"/>
                </m:rPr>
                <m:t>E</m:t>
              </m:r>
              <m:d>
                <m:dPr>
                  <m:begChr m:val="["/>
                  <m:sepChr m:val=""/>
                  <m:endChr m:val="]"/>
                  <m:grow/>
                </m:dPr>
                <m:e>
                  <m:sSup>
                    <m:e>
                      <m:r>
                        <m:t>Y</m:t>
                      </m:r>
                    </m:e>
                    <m:sup>
                      <m:r>
                        <m:t>a</m:t>
                      </m:r>
                      <m:r>
                        <m:rPr>
                          <m:sty m:val="p"/>
                        </m:rPr>
                        <m:t>=</m:t>
                      </m:r>
                      <m:r>
                        <m:t>0</m:t>
                      </m:r>
                    </m:sup>
                  </m:sSup>
                </m:e>
              </m:d>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11"/>
        </w:tc>
      </w:tr>
    </w:tbl>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12"/>
    <w:bookmarkEnd w:id="13"/>
    <w:bookmarkStart w:id="16"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15"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male</m:t>
              </m:r>
              <m:r>
                <m:rPr>
                  <m:sty m:val="p"/>
                </m:rPr>
                <m:t>]</m:t>
              </m:r>
              <m:r>
                <m:rPr>
                  <m:sty m:val="p"/>
                </m:rPr>
                <m:t>=</m:t>
              </m:r>
              <m:r>
                <m:t>0.40</m:t>
              </m:r>
            </m:oMath>
          </w:p>
          <w:p>
            <w:pPr>
              <w:pStyle w:val="Compact"/>
              <w:numPr>
                <w:ilvl w:val="0"/>
                <w:numId w:val="1011"/>
              </w:numPr>
            </w:pPr>
            <w:r>
              <w:t xml:space="preserve">Risk in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male</m:t>
              </m:r>
              <m:r>
                <m:rPr>
                  <m:sty m:val="p"/>
                </m:rPr>
                <m:t>]</m:t>
              </m:r>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female</m:t>
              </m:r>
              <m:r>
                <m:rPr>
                  <m:sty m:val="p"/>
                </m:rPr>
                <m:t>]</m:t>
              </m:r>
              <m:r>
                <m:rPr>
                  <m:sty m:val="p"/>
                </m:rPr>
                <m:t>=</m:t>
              </m:r>
              <m:r>
                <m:t>0.65</m:t>
              </m:r>
            </m:oMath>
          </w:p>
          <w:p>
            <w:pPr>
              <w:pStyle w:val="Compact"/>
              <w:numPr>
                <w:ilvl w:val="0"/>
                <w:numId w:val="1012"/>
              </w:numPr>
            </w:pPr>
            <w:r>
              <w:t xml:space="preserve">Risk in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female</m:t>
              </m:r>
              <m:r>
                <m:rPr>
                  <m:sty m:val="p"/>
                </m:rPr>
                <m:t>]</m:t>
              </m:r>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14"/>
        </w:tc>
      </w:tr>
    </w:tbl>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15"/>
    <w:bookmarkEnd w:id="16"/>
    <w:bookmarkStart w:id="21"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17"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17"/>
    <w:bookmarkStart w:id="19"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exm-precision-medicine"/>
          <w:p>
            <w:pPr>
              <w:pStyle w:val="BodyText"/>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18"/>
        </w:tc>
      </w:tr>
    </w:tbl>
    <w:bookmarkEnd w:id="19"/>
    <w:bookmarkStart w:id="20"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20"/>
    <w:bookmarkEnd w:id="21"/>
    <w:bookmarkStart w:id="24"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22"/>
        </w:tc>
      </w:tr>
    </w:tbl>
    <w:bookmarkStart w:id="23"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23"/>
    <w:bookmarkEnd w:id="24"/>
    <w:bookmarkStart w:id="28"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26"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exm-matching"/>
          <w:p>
            <w:pPr>
              <w:pStyle w:val="BodyText"/>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25"/>
        </w:tc>
      </w:tr>
    </w:tbl>
    <w:bookmarkEnd w:id="26"/>
    <w:bookmarkStart w:id="27"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27"/>
    <w:bookmarkEnd w:id="28"/>
    <w:bookmarkStart w:id="32"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30"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exm-stratification-with-confounding"/>
          <w:p>
            <w:pPr>
              <w:pStyle w:val="BodyText"/>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29"/>
        </w:tc>
      </w:tr>
    </w:tbl>
    <w:bookmarkEnd w:id="30"/>
    <w:bookmarkStart w:id="31"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V</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e>
        </m:d>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2026-07-16T18:48:28Z</dcterms:created>
  <dcterms:modified xsi:type="dcterms:W3CDTF">2026-07-16T18:48:28Z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