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21"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20"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20"/>
    <w:bookmarkEnd w:id="21"/>
    <w:bookmarkStart w:id="23"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t>P</m:t>
        </m:r>
        <m:r>
          <m:t>r</m:t>
        </m:r>
        <m:d>
          <m:dPr>
            <m:begChr m:val="["/>
            <m:sepChr m:val=""/>
            <m:endChr m:val="]"/>
            <m:grow/>
          </m:dPr>
          <m:e>
            <m:sSup>
              <m:e>
                <m:r>
                  <m:t>Y</m:t>
                </m:r>
              </m:e>
              <m:sup>
                <m:r>
                  <m:t>a</m:t>
                </m:r>
                <m:r>
                  <m:rPr>
                    <m:sty m:val="p"/>
                  </m:rPr>
                  <m:t>=</m:t>
                </m:r>
                <m:r>
                  <m:t>1</m:t>
                </m:r>
              </m:sup>
            </m:sSup>
            <m:r>
              <m:rPr>
                <m:sty m:val="p"/>
              </m:rPr>
              <m:t>=</m:t>
            </m:r>
            <m:r>
              <m:t>1</m:t>
            </m:r>
          </m:e>
        </m:d>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t>P</m:t>
        </m:r>
        <m:r>
          <m:t>r</m:t>
        </m:r>
        <m:d>
          <m:dPr>
            <m:begChr m:val="["/>
            <m:sepChr m:val=""/>
            <m:endChr m:val="]"/>
            <m:grow/>
          </m:dPr>
          <m:e>
            <m:sSup>
              <m:e>
                <m:r>
                  <m:t>Y</m:t>
                </m:r>
              </m:e>
              <m:sup>
                <m:r>
                  <m:t>a</m:t>
                </m:r>
                <m:r>
                  <m:rPr>
                    <m:sty m:val="p"/>
                  </m:rPr>
                  <m:t>=</m:t>
                </m:r>
                <m:r>
                  <m:t>0</m:t>
                </m:r>
              </m:sup>
            </m:sSup>
            <m:r>
              <m:rPr>
                <m:sty m:val="p"/>
              </m:rPr>
              <m:t>=</m:t>
            </m:r>
            <m:r>
              <m:t>1</m:t>
            </m:r>
          </m:e>
        </m:d>
        <m:r>
          <m:rPr>
            <m:sty m:val="p"/>
          </m:rPr>
          <m:t>=</m:t>
        </m:r>
        <m:r>
          <m:t>10</m:t>
        </m:r>
        <m:r>
          <m:rPr>
            <m:sty m:val="p"/>
          </m:rPr>
          <m:t>/</m:t>
        </m:r>
        <m:r>
          <m:t>20</m:t>
        </m:r>
        <m:r>
          <m:rPr>
            <m:sty m:val="p"/>
          </m:rPr>
          <m:t>=</m:t>
        </m:r>
        <m:r>
          <m:t>0.5</m:t>
        </m:r>
      </m:oMath>
    </w:p>
    <w:bookmarkStart w:id="22"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oMath>
      </m:oMathPara>
    </w:p>
    <w:p>
      <w:pPr>
        <w:pStyle w:val="FirstParagraph"/>
      </w:pPr>
      <w:r>
        <w:t xml:space="preserve">or equivalently (using expected values):</w:t>
      </w:r>
    </w:p>
    <w:p>
      <w:pPr>
        <w:pStyle w:val="BodyText"/>
      </w:pPr>
      <m:oMathPara>
        <m:oMathParaPr>
          <m:jc m:val="center"/>
        </m:oMathParaP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 </w:t>
      </w:r>
      <w:r>
        <w:t xml:space="preserve">always equals the average of individual causal effects</w:t>
      </w:r>
      <w:r>
        <w:t xml:space="preserve"> </w:t>
      </w: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22"/>
    <w:bookmarkEnd w:id="23"/>
    <w:bookmarkStart w:id="27"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24" w:name="causal-risk-difference"/>
    <w:p>
      <w:pPr>
        <w:pStyle w:val="Heading3"/>
      </w:pPr>
      <w:r>
        <w:t xml:space="preserve">3.1 Causal Risk Difference</w:t>
      </w:r>
    </w:p>
    <w:p>
      <w:pPr>
        <w:pStyle w:val="FirstParagraph"/>
      </w:pPr>
      <m:oMathPara>
        <m:oMathParaPr>
          <m:jc m:val="center"/>
        </m:oMathParaPr>
        <m:oMath>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oMath>
      </m:oMathPara>
    </w:p>
    <w:p>
      <w:pPr>
        <w:pStyle w:val="FirstParagraph"/>
      </w:pPr>
      <w:r>
        <w:t xml:space="preserve">This additive measure equals zero under the null hypothesis. It measures the absolute difference in risk.</w:t>
      </w:r>
    </w:p>
    <w:bookmarkEnd w:id="24"/>
    <w:bookmarkStart w:id="25" w:name="causal-risk-ratio"/>
    <w:p>
      <w:pPr>
        <w:pStyle w:val="Heading3"/>
      </w:pPr>
      <w:r>
        <w:t xml:space="preserve">3.2 Causal Risk Ratio</w:t>
      </w:r>
    </w:p>
    <w:p>
      <w:pPr>
        <w:pStyle w:val="FirstParagraph"/>
      </w:pPr>
      <m:oMathPara>
        <m:oMathParaPr>
          <m:jc m:val="center"/>
        </m:oMathParaPr>
        <m:oMath>
          <m:f>
            <m:fPr>
              <m:type m:val="bar"/>
            </m:fPr>
            <m:num>
              <m:r>
                <m:t>P</m:t>
              </m:r>
              <m:r>
                <m:t>r</m:t>
              </m:r>
              <m:d>
                <m:dPr>
                  <m:begChr m:val="["/>
                  <m:sepChr m:val=""/>
                  <m:endChr m:val="]"/>
                  <m:grow/>
                </m:dPr>
                <m:e>
                  <m:sSup>
                    <m:e>
                      <m:r>
                        <m:t>Y</m:t>
                      </m:r>
                    </m:e>
                    <m:sup>
                      <m:r>
                        <m:t>a</m:t>
                      </m:r>
                      <m:r>
                        <m:rPr>
                          <m:sty m:val="p"/>
                        </m:rPr>
                        <m:t>=</m:t>
                      </m:r>
                      <m:r>
                        <m:t>1</m:t>
                      </m:r>
                    </m:sup>
                  </m:sSup>
                  <m:r>
                    <m:rPr>
                      <m:sty m:val="p"/>
                    </m:rPr>
                    <m:t>=</m:t>
                  </m:r>
                  <m:r>
                    <m:t>1</m:t>
                  </m:r>
                </m:e>
              </m:d>
            </m:num>
            <m:den>
              <m:r>
                <m:t>P</m:t>
              </m:r>
              <m:r>
                <m:t>r</m:t>
              </m:r>
              <m:d>
                <m:dPr>
                  <m:begChr m:val="["/>
                  <m:sepChr m:val=""/>
                  <m:endChr m:val="]"/>
                  <m:grow/>
                </m:dPr>
                <m:e>
                  <m:sSup>
                    <m:e>
                      <m:r>
                        <m:t>Y</m:t>
                      </m:r>
                    </m:e>
                    <m:sup>
                      <m:r>
                        <m:t>a</m:t>
                      </m:r>
                      <m:r>
                        <m:rPr>
                          <m:sty m:val="p"/>
                        </m:rPr>
                        <m:t>=</m:t>
                      </m:r>
                      <m:r>
                        <m:t>0</m:t>
                      </m:r>
                    </m:sup>
                  </m:sSup>
                  <m:r>
                    <m:rPr>
                      <m:sty m:val="p"/>
                    </m:rPr>
                    <m:t>=</m:t>
                  </m:r>
                  <m:r>
                    <m:t>1</m:t>
                  </m:r>
                </m:e>
              </m:d>
            </m:den>
          </m:f>
        </m:oMath>
      </m:oMathPara>
    </w:p>
    <w:p>
      <w:pPr>
        <w:pStyle w:val="FirstParagraph"/>
      </w:pPr>
      <w:r>
        <w:t xml:space="preserve">This multiplicative measure equals one under the null hypothesis. It measures how many times treatment increases (or decreases) the risk.</w:t>
      </w:r>
    </w:p>
    <w:bookmarkEnd w:id="25"/>
    <w:bookmarkStart w:id="26" w:name="causal-odds-ratio"/>
    <w:p>
      <w:pPr>
        <w:pStyle w:val="Heading3"/>
      </w:pPr>
      <w:r>
        <w:t xml:space="preserve">3.3 Causal Odds Ratio</w:t>
      </w:r>
    </w:p>
    <w:p>
      <w:pPr>
        <w:pStyle w:val="FirstParagraph"/>
      </w:pPr>
      <m:oMathPara>
        <m:oMathParaPr>
          <m:jc m:val="center"/>
        </m:oMathParaPr>
        <m:oMath>
          <m:f>
            <m:fPr>
              <m:type m:val="bar"/>
            </m:fPr>
            <m:num>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1</m:t>
                      </m:r>
                    </m:sup>
                  </m:sSup>
                  <m:r>
                    <m:rPr>
                      <m:sty m:val="p"/>
                    </m:rPr>
                    <m:t>=</m:t>
                  </m:r>
                  <m:r>
                    <m:t>0</m:t>
                  </m:r>
                </m:e>
              </m:d>
            </m:num>
            <m:den>
              <m:r>
                <m:t>P</m:t>
              </m:r>
              <m:r>
                <m:t>r</m:t>
              </m:r>
              <m:d>
                <m:dPr>
                  <m:begChr m:val="["/>
                  <m:sepChr m:val=""/>
                  <m:endChr m:val="]"/>
                  <m:grow/>
                </m:dPr>
                <m:e>
                  <m:sSup>
                    <m:e>
                      <m:r>
                        <m:t>Y</m:t>
                      </m:r>
                    </m:e>
                    <m:sup>
                      <m:r>
                        <m:t>a</m:t>
                      </m:r>
                      <m:r>
                        <m:rPr>
                          <m:sty m:val="p"/>
                        </m:rPr>
                        <m:t>=</m:t>
                      </m:r>
                      <m:r>
                        <m:t>0</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0</m:t>
                  </m:r>
                </m:e>
              </m:d>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26"/>
    <w:bookmarkEnd w:id="27"/>
    <w:bookmarkStart w:id="30"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28"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r>
          <m:rPr>
            <m:sty m:val="p"/>
          </m:rPr>
          <m:t>=</m:t>
        </m:r>
        <m:r>
          <m:t>0.5</m:t>
        </m:r>
      </m:oMath>
      <w:r>
        <w:t xml:space="preserve"> </w:t>
      </w:r>
      <w:r>
        <w:t xml:space="preserve">(true null effect). We might observe</w:t>
      </w:r>
      <w:r>
        <w:t xml:space="preserve"> </w:t>
      </w:r>
      <m:oMath>
        <m:acc>
          <m:accPr>
            <m:chr m:val="̂"/>
          </m:accPr>
          <m:e>
            <m:r>
              <m:t>E</m:t>
            </m:r>
          </m:e>
        </m:acc>
        <m:d>
          <m:dPr>
            <m:begChr m:val="["/>
            <m:sepChr m:val=""/>
            <m:endChr m:val="]"/>
            <m:grow/>
          </m:dPr>
          <m:e>
            <m:sSup>
              <m:e>
                <m:r>
                  <m:t>Y</m:t>
                </m:r>
              </m:e>
              <m:sup>
                <m:r>
                  <m:t>a</m:t>
                </m:r>
                <m:r>
                  <m:rPr>
                    <m:sty m:val="p"/>
                  </m:rPr>
                  <m:t>=</m:t>
                </m:r>
                <m:r>
                  <m:t>1</m:t>
                </m:r>
              </m:sup>
            </m:sSup>
          </m:e>
        </m:d>
        <m:r>
          <m:rPr>
            <m:sty m:val="p"/>
          </m:rPr>
          <m:t>=</m:t>
        </m:r>
        <m:r>
          <m:t>0.55</m:t>
        </m:r>
      </m:oMath>
      <w:r>
        <w:t xml:space="preserve"> </w:t>
      </w:r>
      <w:r>
        <w:t xml:space="preserve">and</w:t>
      </w:r>
      <w:r>
        <w:t xml:space="preserve"> </w:t>
      </w:r>
      <m:oMath>
        <m:acc>
          <m:accPr>
            <m:chr m:val="̂"/>
          </m:accPr>
          <m:e>
            <m:r>
              <m:t>E</m:t>
            </m:r>
          </m:e>
        </m:acc>
        <m:d>
          <m:dPr>
            <m:begChr m:val="["/>
            <m:sepChr m:val=""/>
            <m:endChr m:val="]"/>
            <m:grow/>
          </m:dPr>
          <m:e>
            <m:sSup>
              <m:e>
                <m:r>
                  <m:t>Y</m:t>
                </m:r>
              </m:e>
              <m:sup>
                <m:r>
                  <m:t>a</m:t>
                </m:r>
                <m:r>
                  <m:rPr>
                    <m:sty m:val="p"/>
                  </m:rPr>
                  <m:t>=</m:t>
                </m:r>
                <m:r>
                  <m:t>0</m:t>
                </m:r>
              </m:sup>
            </m:sSup>
          </m:e>
        </m:d>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28"/>
    <w:bookmarkStart w:id="29"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29"/>
    <w:bookmarkEnd w:id="30"/>
    <w:bookmarkStart w:id="35"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31"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t>P</m:t>
        </m:r>
        <m:r>
          <m:t>r</m:t>
        </m:r>
        <m:d>
          <m:dPr>
            <m:begChr m:val="["/>
            <m:sepChr m:val=""/>
            <m:endChr m:val="]"/>
            <m:grow/>
          </m:dPr>
          <m:e>
            <m:r>
              <m:t>Y</m:t>
            </m:r>
            <m:r>
              <m:rPr>
                <m:sty m:val="p"/>
              </m:rPr>
              <m:t>=</m:t>
            </m:r>
            <m:r>
              <m:t>1</m:t>
            </m:r>
            <m:r>
              <m:rPr>
                <m:sty m:val="p"/>
              </m:rPr>
              <m:t>|</m:t>
            </m:r>
            <m:r>
              <m:t>A</m:t>
            </m:r>
            <m:r>
              <m:rPr>
                <m:sty m:val="p"/>
              </m:rPr>
              <m:t>=</m:t>
            </m:r>
            <m:r>
              <m:t>0</m:t>
            </m:r>
          </m:e>
        </m:d>
        <m:r>
          <m:rPr>
            <m:sty m:val="p"/>
          </m:rPr>
          <m:t>=</m:t>
        </m:r>
        <m:r>
          <m:t>3</m:t>
        </m:r>
        <m:r>
          <m:rPr>
            <m:sty m:val="p"/>
          </m:rPr>
          <m:t>/</m:t>
        </m:r>
        <m:r>
          <m:t>7</m:t>
        </m:r>
      </m:oMath>
    </w:p>
    <w:bookmarkEnd w:id="31"/>
    <w:bookmarkStart w:id="32"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oMath>
      </m:oMathPara>
    </w:p>
    <w:p>
      <w:pPr>
        <w:pStyle w:val="FirstParagraph"/>
      </w:pPr>
      <w:r>
        <w:t xml:space="preserve">or equivalently:</w:t>
      </w:r>
      <w:r>
        <w:t xml:space="preserve"> </w:t>
      </w:r>
      <m:oMath>
        <m:r>
          <m:t>E</m:t>
        </m:r>
        <m:d>
          <m:dPr>
            <m:begChr m:val="["/>
            <m:sepChr m:val=""/>
            <m:endChr m:val="]"/>
            <m:grow/>
          </m:dPr>
          <m:e>
            <m:r>
              <m:t>Y</m:t>
            </m:r>
            <m:r>
              <m:rPr>
                <m:sty m:val="p"/>
              </m:rPr>
              <m:t>|</m:t>
            </m:r>
            <m:r>
              <m:t>A</m:t>
            </m:r>
            <m:r>
              <m:rPr>
                <m:sty m:val="p"/>
              </m:rPr>
              <m:t>=</m:t>
            </m:r>
            <m:r>
              <m:t>1</m:t>
            </m:r>
          </m:e>
        </m:d>
        <m:r>
          <m:rPr>
            <m:sty m:val="p"/>
          </m:rPr>
          <m:t>=</m:t>
        </m:r>
        <m:r>
          <m:t>E</m:t>
        </m:r>
        <m:d>
          <m:dPr>
            <m:begChr m:val="["/>
            <m:sepChr m:val=""/>
            <m:endChr m:val="]"/>
            <m:grow/>
          </m:dPr>
          <m:e>
            <m:r>
              <m:t>Y</m:t>
            </m:r>
            <m:r>
              <m:rPr>
                <m:sty m:val="p"/>
              </m:rPr>
              <m:t>|</m:t>
            </m:r>
            <m:r>
              <m:t>A</m:t>
            </m:r>
            <m:r>
              <m:rPr>
                <m:sty m:val="p"/>
              </m:rPr>
              <m:t>=</m:t>
            </m:r>
            <m:r>
              <m:t>0</m:t>
            </m:r>
          </m:e>
        </m:d>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oMath>
    </w:p>
    <w:p>
      <w:pPr>
        <w:pStyle w:val="Compact"/>
        <w:numPr>
          <w:ilvl w:val="0"/>
          <w:numId w:val="1008"/>
        </w:numPr>
      </w:pPr>
      <w:r>
        <w:rPr>
          <w:b/>
          <w:bCs/>
        </w:rPr>
        <w:t xml:space="preserve">Associational risk ratio</w:t>
      </w:r>
      <w:r>
        <w:t xml:space="preserve">:</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oMath>
      <w:r>
        <w:br/>
      </w:r>
    </w:p>
    <w:p>
      <w:pPr>
        <w:pStyle w:val="Compact"/>
        <w:numPr>
          <w:ilvl w:val="0"/>
          <w:numId w:val="1008"/>
        </w:numPr>
      </w:pPr>
      <w:r>
        <w:rPr>
          <w:b/>
          <w:bCs/>
        </w:rPr>
        <w:t xml:space="preserve">Associational odds ratio</w:t>
      </w:r>
      <w:r>
        <w:t xml:space="preserve">:</w:t>
      </w:r>
      <w:r>
        <w:t xml:space="preserve"> </w:t>
      </w:r>
      <m:oMath>
        <m:f>
          <m:fPr>
            <m:type m:val="bar"/>
          </m:fPr>
          <m:num>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0</m:t>
                </m:r>
                <m:r>
                  <m:rPr>
                    <m:sty m:val="p"/>
                  </m:rPr>
                  <m:t>|</m:t>
                </m:r>
                <m:r>
                  <m:t>A</m:t>
                </m:r>
                <m:r>
                  <m:rPr>
                    <m:sty m:val="p"/>
                  </m:rPr>
                  <m:t>=</m:t>
                </m:r>
                <m:r>
                  <m:t>1</m:t>
                </m:r>
              </m:e>
            </m:d>
          </m:num>
          <m:den>
            <m:r>
              <m:t>P</m:t>
            </m:r>
            <m:r>
              <m:t>r</m:t>
            </m:r>
            <m:d>
              <m:dPr>
                <m:begChr m:val="["/>
                <m:sepChr m:val=""/>
                <m:endChr m:val="]"/>
                <m:grow/>
              </m:dPr>
              <m:e>
                <m:r>
                  <m:t>Y</m:t>
                </m:r>
                <m:r>
                  <m:rPr>
                    <m:sty m:val="p"/>
                  </m:rPr>
                  <m:t>=</m:t>
                </m:r>
                <m:r>
                  <m:t>1</m:t>
                </m:r>
                <m:r>
                  <m:rPr>
                    <m:sty m:val="p"/>
                  </m:rPr>
                  <m:t>|</m:t>
                </m:r>
                <m:r>
                  <m:t>A</m:t>
                </m:r>
                <m:r>
                  <m:rPr>
                    <m:sty m:val="p"/>
                  </m:rPr>
                  <m:t>=</m:t>
                </m:r>
                <m:r>
                  <m:t>0</m:t>
                </m:r>
              </m:e>
            </m:d>
            <m:r>
              <m:rPr>
                <m:sty m:val="p"/>
              </m:rPr>
              <m:t>/</m:t>
            </m:r>
            <m:r>
              <m:t>P</m:t>
            </m:r>
            <m:r>
              <m:t>r</m:t>
            </m:r>
            <m:d>
              <m:dPr>
                <m:begChr m:val="["/>
                <m:sepChr m:val=""/>
                <m:endChr m:val="]"/>
                <m:grow/>
              </m:dPr>
              <m:e>
                <m:r>
                  <m:t>Y</m:t>
                </m:r>
                <m:r>
                  <m:rPr>
                    <m:sty m:val="p"/>
                  </m:rPr>
                  <m:t>=</m:t>
                </m:r>
                <m:r>
                  <m:t>0</m:t>
                </m:r>
                <m:r>
                  <m:rPr>
                    <m:sty m:val="p"/>
                  </m:rPr>
                  <m:t>|</m:t>
                </m:r>
                <m:r>
                  <m:t>A</m:t>
                </m:r>
                <m:r>
                  <m:rPr>
                    <m:sty m:val="p"/>
                  </m:rPr>
                  <m:t>=</m:t>
                </m:r>
                <m:r>
                  <m:t>0</m:t>
                </m:r>
              </m:e>
            </m:d>
          </m:den>
        </m:f>
      </m:oMath>
    </w:p>
    <w:bookmarkEnd w:id="32"/>
    <w:bookmarkStart w:id="33"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r>
          <m:rPr>
            <m:sty m:val="p"/>
          </m:rPr>
          <m:t>=</m:t>
        </m:r>
        <m:r>
          <m:t>0.5</m:t>
        </m:r>
      </m:oMath>
    </w:p>
    <w:p>
      <w:pPr>
        <w:pStyle w:val="Compact"/>
        <w:numPr>
          <w:ilvl w:val="0"/>
          <w:numId w:val="1009"/>
        </w:numPr>
      </w:pPr>
      <w:r>
        <w:rPr>
          <w:b/>
          <w:bCs/>
        </w:rPr>
        <w:t xml:space="preserve">Association present</w:t>
      </w:r>
      <w:r>
        <w:t xml:space="preserve">:</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0.54</m:t>
        </m:r>
        <m:r>
          <m:rPr>
            <m:sty m:val="p"/>
          </m:rPr>
          <m:t>≠</m:t>
        </m:r>
        <m:r>
          <m:t>0.43</m:t>
        </m:r>
        <m:r>
          <m:rPr>
            <m:sty m:val="p"/>
          </m:rPr>
          <m:t>=</m:t>
        </m:r>
        <m:r>
          <m:t>P</m:t>
        </m:r>
        <m:r>
          <m:t>r</m:t>
        </m:r>
        <m:d>
          <m:dPr>
            <m:begChr m:val="["/>
            <m:sepChr m:val=""/>
            <m:endChr m:val="]"/>
            <m:grow/>
          </m:dPr>
          <m:e>
            <m:r>
              <m:t>Y</m:t>
            </m:r>
            <m:r>
              <m:rPr>
                <m:sty m:val="p"/>
              </m:rPr>
              <m:t>=</m:t>
            </m:r>
            <m:r>
              <m:t>1</m:t>
            </m:r>
            <m:r>
              <m:rPr>
                <m:sty m:val="p"/>
              </m:rPr>
              <m:t>|</m:t>
            </m:r>
            <m:r>
              <m:t>A</m:t>
            </m:r>
            <m:r>
              <m:rPr>
                <m:sty m:val="p"/>
              </m:rPr>
              <m:t>=</m:t>
            </m:r>
            <m:r>
              <m:t>0</m:t>
            </m:r>
          </m:e>
        </m:d>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t>P</m:t>
        </m:r>
        <m:r>
          <m:t>r</m:t>
        </m:r>
        <m:d>
          <m:dPr>
            <m:begChr m:val="["/>
            <m:sepChr m:val=""/>
            <m:endChr m:val="]"/>
            <m:grow/>
          </m:dPr>
          <m:e>
            <m:sSup>
              <m:e>
                <m:r>
                  <m:t>Y</m:t>
                </m:r>
              </m:e>
              <m:sup>
                <m:r>
                  <m:t>a</m:t>
                </m:r>
                <m:r>
                  <m:rPr>
                    <m:sty m:val="p"/>
                  </m:rPr>
                  <m:t>=</m:t>
                </m:r>
                <m:r>
                  <m:t>1</m:t>
                </m:r>
              </m:sup>
            </m:sSup>
            <m:r>
              <m:rPr>
                <m:sty m:val="p"/>
              </m:rPr>
              <m:t>=</m:t>
            </m:r>
            <m:r>
              <m:t>1</m:t>
            </m:r>
          </m:e>
        </m:d>
      </m:oMath>
      <w:r>
        <w:t xml:space="preserve"> </w:t>
      </w:r>
      <w:r>
        <w:t xml:space="preserve">vs. </w:t>
      </w:r>
      <m:oMath>
        <m:r>
          <m:t>P</m:t>
        </m:r>
        <m:r>
          <m:t>r</m:t>
        </m:r>
        <m:d>
          <m:dPr>
            <m:begChr m:val="["/>
            <m:sepChr m:val=""/>
            <m:endChr m:val="]"/>
            <m:grow/>
          </m:dPr>
          <m:e>
            <m:sSup>
              <m:e>
                <m:r>
                  <m:t>Y</m:t>
                </m:r>
              </m:e>
              <m:sup>
                <m:r>
                  <m:t>a</m:t>
                </m:r>
                <m:r>
                  <m:rPr>
                    <m:sty m:val="p"/>
                  </m:rPr>
                  <m:t>=</m:t>
                </m:r>
                <m:r>
                  <m:t>0</m:t>
                </m:r>
              </m:sup>
            </m:sSup>
            <m:r>
              <m:rPr>
                <m:sty m:val="p"/>
              </m:rPr>
              <m:t>=</m:t>
            </m:r>
            <m:r>
              <m:t>1</m:t>
            </m:r>
          </m:e>
        </m:d>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t>P</m:t>
        </m:r>
        <m:r>
          <m:t>r</m:t>
        </m:r>
        <m:d>
          <m:dPr>
            <m:begChr m:val="["/>
            <m:sepChr m:val=""/>
            <m:endChr m:val="]"/>
            <m:grow/>
          </m:dPr>
          <m:e>
            <m:r>
              <m:t>Y</m:t>
            </m:r>
            <m:r>
              <m:rPr>
                <m:sty m:val="p"/>
              </m:rPr>
              <m:t>=</m:t>
            </m:r>
            <m:r>
              <m:t>1</m:t>
            </m:r>
            <m:r>
              <m:rPr>
                <m:sty m:val="p"/>
              </m:rPr>
              <m:t>|</m:t>
            </m:r>
            <m:r>
              <m:t>A</m:t>
            </m:r>
            <m:r>
              <m:rPr>
                <m:sty m:val="p"/>
              </m:rPr>
              <m:t>=</m:t>
            </m:r>
            <m:r>
              <m:t>1</m:t>
            </m:r>
          </m:e>
        </m:d>
      </m:oMath>
      <w:r>
        <w:t xml:space="preserve"> </w:t>
      </w:r>
      <w:r>
        <w:t xml:space="preserve">vs. </w:t>
      </w:r>
      <m:oMath>
        <m:r>
          <m:t>P</m:t>
        </m:r>
        <m:r>
          <m:t>r</m:t>
        </m:r>
        <m:d>
          <m:dPr>
            <m:begChr m:val="["/>
            <m:sepChr m:val=""/>
            <m:endChr m:val="]"/>
            <m:grow/>
          </m:dPr>
          <m:e>
            <m:r>
              <m:t>Y</m:t>
            </m:r>
            <m:r>
              <m:rPr>
                <m:sty m:val="p"/>
              </m:rPr>
              <m:t>=</m:t>
            </m:r>
            <m:r>
              <m:t>1</m:t>
            </m:r>
            <m:r>
              <m:rPr>
                <m:sty m:val="p"/>
              </m:rPr>
              <m:t>|</m:t>
            </m:r>
            <m:r>
              <m:t>A</m:t>
            </m:r>
            <m:r>
              <m:rPr>
                <m:sty m:val="p"/>
              </m:rPr>
              <m:t>=</m:t>
            </m:r>
            <m:r>
              <m:t>0</m:t>
            </m:r>
          </m:e>
        </m:d>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33"/>
    <w:bookmarkStart w:id="34"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34"/>
    <w:bookmarkEnd w:id="35"/>
    <w:bookmarkStart w:id="36"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36"/>
    <w:bookmarkStart w:id="40" w:name="references"/>
    <w:p>
      <w:pPr>
        <w:pStyle w:val="Heading2"/>
      </w:pPr>
      <w:r>
        <w:t xml:space="preserve">7 References</w:t>
      </w:r>
    </w:p>
    <w:p>
      <w:r>
        <w:pict>
          <v:rect style="width:0;height:1.5pt" o:hralign="center" o:hrstd="t" o:hr="t"/>
        </w:pic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2026-01-15T08:02:45Z</dcterms:created>
  <dcterms:modified xsi:type="dcterms:W3CDTF">2026-01-15T08:02:45Z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