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24"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21"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20"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Estimator</w:t>
      </w:r>
      <w:r>
        <w:t xml:space="preserv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Estimate</w:t>
      </w:r>
      <w:r>
        <w:t xml:space="preserve">: From our 20-person study,</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bookmarkEnd w:id="20"/>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21"/>
    <w:bookmarkStart w:id="22"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d>
                <m:dPr>
                  <m:begChr m:val="|"/>
                  <m:sepChr m:val=""/>
                  <m:endChr m:val="|"/>
                  <m:grow/>
                </m:dPr>
                <m:e>
                  <m:sSub>
                    <m:e>
                      <m:acc>
                        <m:accPr>
                          <m:chr m:val="̂"/>
                        </m:accPr>
                        <m:e>
                          <m:r>
                            <m:t>θ</m:t>
                          </m:r>
                        </m:e>
                      </m:acc>
                    </m:e>
                    <m:sub>
                      <m:r>
                        <m:t>n</m:t>
                      </m:r>
                    </m:sub>
                  </m:sSub>
                  <m:r>
                    <m:rPr>
                      <m:sty m:val="p"/>
                    </m:rPr>
                    <m:t>−</m:t>
                  </m:r>
                  <m:r>
                    <m:t>θ</m:t>
                  </m:r>
                </m:e>
              </m:d>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a</m:t>
            </m:r>
          </m:e>
        </m:d>
      </m:oMath>
      <w:r>
        <w:t xml:space="preserve"> </w:t>
      </w:r>
      <w:r>
        <w:t xml:space="preserve">is a consistent estimator of</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w:t>
      </w:r>
    </w:p>
    <w:bookmarkEnd w:id="22"/>
    <w:bookmarkStart w:id="23"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d>
              <m:dPr>
                <m:begChr m:val="("/>
                <m:sepChr m:val=""/>
                <m:endChr m:val=")"/>
                <m:grow/>
              </m:dPr>
              <m:e>
                <m:r>
                  <m:t>7</m:t>
                </m:r>
                <m:r>
                  <m:rPr>
                    <m:sty m:val="p"/>
                  </m:rPr>
                  <m:t>/</m:t>
                </m:r>
                <m:r>
                  <m:t>13</m:t>
                </m:r>
              </m:e>
            </m:d>
            <m:d>
              <m:dPr>
                <m:begChr m:val="("/>
                <m:sepChr m:val=""/>
                <m:endChr m:val=")"/>
                <m:grow/>
              </m:dPr>
              <m:e>
                <m:r>
                  <m:t>6</m:t>
                </m:r>
                <m:r>
                  <m:rPr>
                    <m:sty m:val="p"/>
                  </m:rPr>
                  <m:t>/</m:t>
                </m:r>
                <m:r>
                  <m:t>13</m:t>
                </m:r>
              </m:e>
            </m:d>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d>
          <m:dPr>
            <m:begChr m:val="("/>
            <m:sepChr m:val=""/>
            <m:endChr m:val=")"/>
            <m:grow/>
          </m:dPr>
          <m:e>
            <m:r>
              <m:t>0.138</m:t>
            </m:r>
          </m:e>
        </m:d>
        <m:r>
          <m:rPr>
            <m:sty m:val="p"/>
          </m:rPr>
          <m:t>=</m:t>
        </m:r>
        <m:d>
          <m:dPr>
            <m:begChr m:val="("/>
            <m:sepChr m:val=""/>
            <m:endChr m:val=")"/>
            <m:grow/>
          </m:dPr>
          <m:e>
            <m:r>
              <m:t>0.27</m:t>
            </m:r>
            <m:r>
              <m:rPr>
                <m:sty m:val="p"/>
              </m:rPr>
              <m:t>,</m:t>
            </m:r>
            <m:r>
              <m:t>0.81</m:t>
            </m:r>
          </m:e>
        </m:d>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23"/>
    <w:bookmarkEnd w:id="24"/>
    <w:bookmarkStart w:id="28"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5"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d>
          <m:dPr>
            <m:begChr m:val="["/>
            <m:sepChr m:val=""/>
            <m:endChr m:val="]"/>
            <m:grow/>
          </m:dPr>
          <m:e>
            <m:sSup>
              <m:e>
                <m:r>
                  <m:t>Y</m:t>
                </m:r>
              </m:e>
              <m:sup>
                <m:r>
                  <m:t>a</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a</m:t>
            </m:r>
          </m:e>
        </m:d>
      </m:oMath>
    </w:p>
    <w:bookmarkEnd w:id="25"/>
    <w:bookmarkStart w:id="26"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t xml:space="preserve">Causal risk ratio:</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6"/>
    <w:bookmarkStart w:id="27"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7"/>
    <w:bookmarkEnd w:id="28"/>
    <w:bookmarkStart w:id="32"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9"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29"/>
    <w:bookmarkStart w:id="30"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30"/>
    <w:bookmarkStart w:id="31"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31"/>
    <w:bookmarkEnd w:id="32"/>
    <w:bookmarkStart w:id="35"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3"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33"/>
    <w:bookmarkStart w:id="34"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4"/>
    <w:bookmarkEnd w:id="35"/>
    <w:bookmarkStart w:id="39"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36"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36"/>
    <w:bookmarkStart w:id="37"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d>
          <m:dPr>
            <m:begChr m:val="["/>
            <m:sepChr m:val=""/>
            <m:endChr m:val="]"/>
            <m:grow/>
          </m:dPr>
          <m:e>
            <m:r>
              <m:t>A</m:t>
            </m:r>
            <m:r>
              <m:rPr>
                <m:sty m:val="p"/>
              </m:rPr>
              <m:t>|</m:t>
            </m:r>
            <m:r>
              <m:t>L</m:t>
            </m:r>
          </m:e>
        </m:d>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37"/>
    <w:bookmarkStart w:id="38"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38"/>
    <w:bookmarkEnd w:id="39"/>
    <w:bookmarkStart w:id="40"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40"/>
    <w:bookmarkStart w:id="44" w:name="references"/>
    <w:p>
      <w:pPr>
        <w:pStyle w:val="Heading2"/>
      </w:pPr>
      <w:r>
        <w:t xml:space="preserve">7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2026-01-15T08:04:00Z</dcterms:created>
  <dcterms:modified xsi:type="dcterms:W3CDTF">2026-01-15T08:04:00Z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