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24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20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20"/>
    <w:bookmarkStart w:id="21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21"/>
    <w:bookmarkStart w:id="22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22"/>
    <w:bookmarkStart w:id="23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23"/>
    <w:bookmarkEnd w:id="24"/>
    <w:bookmarkStart w:id="28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25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25"/>
    <w:bookmarkStart w:id="26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26"/>
    <w:bookmarkStart w:id="27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Encouraged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Not encouraged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27"/>
    <w:bookmarkEnd w:id="28"/>
    <w:bookmarkStart w:id="34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29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29"/>
    <w:bookmarkStart w:id="30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30"/>
    <w:bookmarkStart w:id="32" w:name="compliance-types"/>
    <w:p>
      <w:pPr>
        <w:pStyle w:val="Heading3"/>
      </w:pPr>
      <w:r>
        <w:t xml:space="preserve">3.3 Compliance Types</w:t>
      </w:r>
    </w:p>
    <w:bookmarkStart w:id="31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31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32"/>
    <w:bookmarkStart w:id="33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33"/>
    <w:bookmarkEnd w:id="34"/>
    <w:bookmarkStart w:id="38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35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35"/>
    <w:bookmarkStart w:id="36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36"/>
    <w:bookmarkStart w:id="37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37"/>
    <w:bookmarkEnd w:id="38"/>
    <w:bookmarkStart w:id="41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39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39"/>
    <w:bookmarkStart w:id="40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40"/>
    <w:bookmarkEnd w:id="41"/>
    <w:bookmarkStart w:id="44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42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42"/>
    <w:bookmarkStart w:id="43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43"/>
    <w:bookmarkEnd w:id="44"/>
    <w:bookmarkStart w:id="49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45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45"/>
    <w:bookmarkStart w:id="47" w:name="survivor-average-causal-effect-sace"/>
    <w:p>
      <w:pPr>
        <w:pStyle w:val="Heading3"/>
      </w:pPr>
      <w:r>
        <w:t xml:space="preserve">7.2 Survivor Average Causal Effect (SACE)</w:t>
      </w:r>
    </w:p>
    <w:bookmarkStart w:id="46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46"/>
    <w:bookmarkEnd w:id="47"/>
    <w:bookmarkStart w:id="48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48"/>
    <w:bookmarkEnd w:id="49"/>
    <w:bookmarkStart w:id="53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2026-01-15T08:04:49Z</dcterms:created>
  <dcterms:modified xsi:type="dcterms:W3CDTF">2026-01-15T08:04:49Z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