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22"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20"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d>
          <m:dPr>
            <m:begChr m:val="["/>
            <m:sepChr m:val=""/>
            <m:endChr m:val="]"/>
            <m:grow/>
          </m:dPr>
          <m:e>
            <m:sSup>
              <m:e>
                <m:r>
                  <m:t>Y</m:t>
                </m:r>
              </m:e>
              <m:sup>
                <m:r>
                  <m:t>a</m:t>
                </m:r>
              </m:sup>
            </m:sSup>
          </m:e>
        </m:d>
      </m:oMath>
      <w:r>
        <w:t xml:space="preserve"> </w:t>
      </w:r>
      <w:r>
        <w:t xml:space="preserve">or</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20"/>
    <w:bookmarkStart w:id="21"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21"/>
    <w:bookmarkEnd w:id="22"/>
    <w:bookmarkStart w:id="27"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bookmarkStart w:id="23"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23"/>
    <w:bookmarkStart w:id="24"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24"/>
    <w:bookmarkStart w:id="26" w:name="sufficient-adjustment-sets"/>
    <w:p>
      <w:pPr>
        <w:pStyle w:val="Heading3"/>
      </w:pPr>
      <w:r>
        <w:t xml:space="preserve">2.2 Sufficient Adjustment Sets</w:t>
      </w:r>
    </w:p>
    <w:bookmarkStart w:id="25" w:name="def-sufficient-adjustment"/>
    <w:p>
      <w:pPr>
        <w:pStyle w:val="FirstParagraph"/>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d>
          <m:dPr>
            <m:begChr m:val="("/>
            <m:sepChr m:val=""/>
            <m:endChr m:val=")"/>
            <m:grow/>
          </m:dPr>
          <m:e>
            <m:sSup>
              <m:e>
                <m:r>
                  <m:t>Y</m:t>
                </m:r>
              </m:e>
              <m:sup>
                <m:r>
                  <m:t>a</m:t>
                </m:r>
              </m:sup>
            </m:sSup>
            <m:r>
              <m:rPr>
                <m:sty m:val="p"/>
              </m:rPr>
              <m:t>⟂</m:t>
            </m:r>
            <m:r>
              <m:t>​</m:t>
            </m:r>
            <m:r>
              <m:t>​</m:t>
            </m:r>
            <m:r>
              <m:t>​</m:t>
            </m:r>
            <m:r>
              <m:rPr>
                <m:sty m:val="p"/>
              </m:rPr>
              <m:t>⟂</m:t>
            </m:r>
            <m:r>
              <m:t>A</m:t>
            </m:r>
            <m:r>
              <m:rPr>
                <m:sty m:val="p"/>
              </m:rPr>
              <m:t>∣</m:t>
            </m:r>
            <m:r>
              <m:t>L</m:t>
            </m:r>
          </m:e>
        </m:d>
      </m:oMath>
      <w:r>
        <w:t xml:space="preserve"> </w:t>
      </w:r>
      <w:r>
        <w:t xml:space="preserve">for all</w:t>
      </w:r>
      <w:r>
        <w:t xml:space="preserve"> </w:t>
      </w:r>
      <m:oMath>
        <m:r>
          <m:t>a</m:t>
        </m:r>
      </m:oMath>
      <w:r>
        <w:t xml:space="preserve"> </w:t>
      </w:r>
      <w:r>
        <w:t xml:space="preserve">(conditional exchangeability).</w:t>
      </w:r>
    </w:p>
    <w:bookmarkEnd w:id="25"/>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26"/>
    <w:bookmarkEnd w:id="27"/>
    <w:bookmarkStart w:id="32"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28"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28"/>
    <w:bookmarkStart w:id="29"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29"/>
    <w:bookmarkStart w:id="31" w:name="colliders"/>
    <w:p>
      <w:pPr>
        <w:pStyle w:val="Heading3"/>
      </w:pPr>
      <w:r>
        <w:t xml:space="preserve">3.3 Colliders</w:t>
      </w:r>
    </w:p>
    <w:bookmarkStart w:id="30" w:name="def-collider"/>
    <w:p>
      <w:pPr>
        <w:pStyle w:val="FirstParagraph"/>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30"/>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31"/>
    <w:bookmarkEnd w:id="32"/>
    <w:bookmarkStart w:id="35"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33"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33"/>
    <w:bookmarkStart w:id="34"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34"/>
    <w:bookmarkEnd w:id="35"/>
    <w:bookmarkStart w:id="39"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36"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36"/>
    <w:bookmarkStart w:id="38" w:name="intermediate-confounder"/>
    <w:p>
      <w:pPr>
        <w:pStyle w:val="Heading3"/>
      </w:pPr>
      <w:r>
        <w:t xml:space="preserve">5.2 Intermediate Confounder</w:t>
      </w:r>
    </w:p>
    <w:bookmarkStart w:id="37" w:name="def-intermediate-confounder"/>
    <w:p>
      <w:pPr>
        <w:pStyle w:val="FirstParagraph"/>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37"/>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38"/>
    <w:bookmarkEnd w:id="39"/>
    <w:bookmarkStart w:id="43"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40"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40"/>
    <w:bookmarkStart w:id="41"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41"/>
    <w:bookmarkStart w:id="42"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42"/>
    <w:bookmarkEnd w:id="43"/>
    <w:bookmarkStart w:id="46"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44"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44"/>
    <w:bookmarkStart w:id="45"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45"/>
    <w:bookmarkEnd w:id="46"/>
    <w:bookmarkStart w:id="50"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49" w:name="refs"/>
    <w:bookmarkStart w:id="4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7">
        <w:r>
          <w:rPr>
            <w:rStyle w:val="Hyperlink"/>
          </w:rPr>
          <w:t xml:space="preserve">https://miguelhernan.org/whatifbook</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2026-01-15T08:05:07Z</dcterms:created>
  <dcterms:modified xsi:type="dcterms:W3CDTF">2026-01-15T08:05:07Z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