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tc>
      </w:tr>
    </w:tbl>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6"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tc>
      </w:tr>
    </w:tbl>
    <w:p>
      <w:pPr>
        <w:pStyle w:val="BodyText"/>
      </w:pPr>
      <w:r>
        <w:t xml:space="preserve">Under conditional exchangeability:</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4"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3"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3"/>
        </w:tc>
      </w:tr>
    </w:tbl>
    <w:bookmarkEnd w:id="14"/>
    <w:bookmarkStart w:id="15"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15"/>
    <w:bookmarkEnd w:id="16"/>
    <w:bookmarkStart w:id="20"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t>P</m:t>
              </m:r>
              <m:r>
                <m:t>r</m:t>
              </m:r>
              <m:r>
                <m:rPr>
                  <m:sty m:val="p"/>
                </m:rPr>
                <m:t>[</m:t>
              </m:r>
              <m:r>
                <m:t>L</m:t>
              </m:r>
              <m:r>
                <m:rPr>
                  <m:sty m:val="p"/>
                </m:rPr>
                <m:t>]</m:t>
              </m:r>
              <m:r>
                <m:rPr>
                  <m:sty m:val="p"/>
                </m:rPr>
                <m:t>&gt;</m:t>
              </m:r>
              <m:r>
                <m:t>0</m:t>
              </m:r>
            </m:oMath>
            <w:r>
              <w:t xml:space="preserve">:</w:t>
            </w:r>
          </w:p>
          <w:p>
            <w:pPr>
              <w:pStyle w:val="BodyText"/>
            </w:pPr>
            <m:oMathPara>
              <m:oMathParaPr>
                <m:jc m:val="center"/>
              </m:oMathParaPr>
              <m:oMath>
                <m:r>
                  <m:t>P</m:t>
                </m:r>
                <m:r>
                  <m:t>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7"/>
        </w:tc>
      </w:tr>
    </w:tbl>
    <w:bookmarkStart w:id="19"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t>P</m:t>
                </m:r>
                <m:r>
                  <m:t>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t>E</m:t>
              </m:r>
              <m:r>
                <m:rPr>
                  <m:sty m:val="p"/>
                </m:rPr>
                <m:t>[</m:t>
              </m:r>
              <m:sSup>
                <m:e>
                  <m:r>
                    <m:t>Y</m:t>
                  </m:r>
                </m:e>
                <m:sup>
                  <m:r>
                    <m:t>a</m:t>
                  </m:r>
                  <m:r>
                    <m:rPr>
                      <m:sty m:val="p"/>
                    </m:rPr>
                    <m:t>=</m:t>
                  </m:r>
                  <m:r>
                    <m:t>1</m:t>
                  </m:r>
                </m:sup>
              </m:sSup>
              <m:r>
                <m:rPr>
                  <m:sty m:val="p"/>
                </m:rPr>
                <m:t>|</m:t>
              </m:r>
              <m:r>
                <m:rPr>
                  <m:nor/>
                  <m:sty m:val="p"/>
                </m:rPr>
                <m:t>Age</m:t>
              </m:r>
              <m:r>
                <m:rPr>
                  <m:sty m:val="p"/>
                </m:rPr>
                <m:t>=</m:t>
              </m:r>
              <m:r>
                <m:t>90</m:t>
              </m:r>
              <m:r>
                <m:rPr>
                  <m:sty m:val="p"/>
                </m:rPr>
                <m:t>]</m:t>
              </m:r>
            </m:oMath>
            <w:r>
              <w:t xml:space="preserve"> </w:t>
            </w:r>
            <w:r>
              <w:t xml:space="preserve">from the data because we have no treated 90-year-olds to observe.</w:t>
            </w:r>
          </w:p>
          <w:bookmarkEnd w:id="18"/>
        </w:tc>
      </w:tr>
    </w:tbl>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t>P</m:t>
        </m:r>
        <m:r>
          <m:t>r</m:t>
        </m:r>
        <m:r>
          <m:rPr>
            <m:sty m:val="p"/>
          </m:rPr>
          <m:t>[</m:t>
        </m:r>
        <m:r>
          <m:t>A</m:t>
        </m:r>
        <m:r>
          <m:rPr>
            <m:sty m:val="p"/>
          </m:rPr>
          <m:t>=</m:t>
        </m:r>
        <m:r>
          <m:t>a</m:t>
        </m:r>
        <m:r>
          <m:rPr>
            <m:sty m:val="p"/>
          </m:rPr>
          <m:t>|</m:t>
        </m:r>
        <m:r>
          <m:t>L</m:t>
        </m:r>
        <m:r>
          <m:rPr>
            <m:sty m:val="p"/>
          </m:rPr>
          <m:t>]</m:t>
        </m:r>
      </m:oMath>
      <w:r>
        <w:t xml:space="preserve"> </w:t>
      </w:r>
      <w:r>
        <w:t xml:space="preserve">is very close to 0 or 1) can also cause problems, leading to unstable estimates with large variance.</w:t>
      </w:r>
    </w:p>
    <w:bookmarkEnd w:id="19"/>
    <w:bookmarkEnd w:id="20"/>
    <w:bookmarkStart w:id="24"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1"/>
        </w:tc>
      </w:tr>
    </w:tbl>
    <w:bookmarkStart w:id="23"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2"/>
        </w:tc>
      </w:tr>
    </w:tbl>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23"/>
    <w:bookmarkEnd w:id="24"/>
    <w:bookmarkStart w:id="28"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26"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25"/>
        </w:tc>
      </w:tr>
    </w:tbl>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26"/>
    <w:bookmarkStart w:id="27"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27"/>
    <w:bookmarkEnd w:id="28"/>
    <w:bookmarkStart w:id="33"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29"/>
        </w:tc>
      </w:tr>
    </w:tbl>
    <w:bookmarkStart w:id="30"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0"/>
    <w:bookmarkStart w:id="32" w:name="X6fe384597d9f8447dce47bfd3876580064caa9f"/>
    <w:p>
      <w:pPr>
        <w:pStyle w:val="Heading3"/>
      </w:pPr>
      <w:r>
        <w:t xml:space="preserve">6.2 Example: Target Trial for Statins and Cardiovascular Disease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 w:name="exm-target-trial"/>
          <w:p>
            <w:pPr>
              <w:pStyle w:val="BodyText"/>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31"/>
        </w:tc>
      </w:tr>
    </w:tbl>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2026-05-04T02:02:36Z</dcterms:created>
  <dcterms:modified xsi:type="dcterms:W3CDTF">2026-05-04T02:02:36Z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