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11"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9"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r>
          <m:rPr>
            <m:sty m:val="p"/>
          </m:rPr>
          <m:t>[</m:t>
        </m:r>
        <m:sSup>
          <m:e>
            <m:r>
              <m:t>Y</m:t>
            </m:r>
          </m:e>
          <m:sup>
            <m:r>
              <m:t>a</m:t>
            </m:r>
          </m:sup>
        </m:sSup>
        <m:r>
          <m:rPr>
            <m:sty m:val="p"/>
          </m:rPr>
          <m:t>]</m:t>
        </m:r>
      </m:oMath>
      <w:r>
        <w:t xml:space="preserve"> </w:t>
      </w:r>
      <w:r>
        <w:t xml:space="preserve">or</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9"/>
    <w:bookmarkStart w:id="10"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10"/>
    <w:bookmarkEnd w:id="11"/>
    <w:bookmarkStart w:id="16"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12"/>
        </w:tc>
      </w:tr>
    </w:tbl>
    <w:bookmarkStart w:id="13"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13"/>
    <w:bookmarkStart w:id="15" w:name="sufficient-adjustment-sets"/>
    <w:p>
      <w:pPr>
        <w:pStyle w:val="Heading3"/>
      </w:pPr>
      <w:r>
        <w:t xml:space="preserve">2.2 Sufficient Adjustment Sets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sufficient-adjustment"/>
          <w:p>
            <w:pPr>
              <w:pStyle w:val="BodyText"/>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r>
                <m:rPr>
                  <m:sty m:val="p"/>
                </m:rPr>
                <m:t>(</m:t>
              </m:r>
              <m:sSup>
                <m:e>
                  <m:r>
                    <m:t>Y</m:t>
                  </m:r>
                </m:e>
                <m:sup>
                  <m:r>
                    <m:t>a</m:t>
                  </m:r>
                </m:sup>
              </m:sSup>
              <m:r>
                <m:rPr>
                  <m:sty m:val="p"/>
                </m:rPr>
                <m:t>⟂</m:t>
              </m:r>
              <m:r>
                <m:t>​</m:t>
              </m:r>
              <m:r>
                <m:t>​</m:t>
              </m:r>
              <m:r>
                <m:t>​</m:t>
              </m:r>
              <m:r>
                <m:rPr>
                  <m:sty m:val="p"/>
                </m:rPr>
                <m:t>⟂</m:t>
              </m:r>
              <m:r>
                <m:t>A</m:t>
              </m:r>
              <m:r>
                <m:rPr>
                  <m:sty m:val="p"/>
                </m:rPr>
                <m:t>∣</m:t>
              </m:r>
              <m:r>
                <m:t>L</m:t>
              </m:r>
              <m:r>
                <m:rPr>
                  <m:sty m:val="p"/>
                </m:rPr>
                <m:t>)</m:t>
              </m:r>
            </m:oMath>
            <w:r>
              <w:t xml:space="preserve"> </w:t>
            </w:r>
            <w:r>
              <w:t xml:space="preserve">for all</w:t>
            </w:r>
            <w:r>
              <w:t xml:space="preserve"> </w:t>
            </w:r>
            <m:oMath>
              <m:r>
                <m:t>a</m:t>
              </m:r>
            </m:oMath>
            <w:r>
              <w:t xml:space="preserve"> </w:t>
            </w:r>
            <w:r>
              <w:t xml:space="preserve">(conditional exchangeability).</w:t>
            </w:r>
          </w:p>
          <w:bookmarkEnd w:id="14"/>
        </w:tc>
      </w:tr>
    </w:tbl>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15"/>
    <w:bookmarkEnd w:id="16"/>
    <w:bookmarkStart w:id="21"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17"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17"/>
    <w:bookmarkStart w:id="18"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18"/>
    <w:bookmarkStart w:id="20" w:name="colliders"/>
    <w:p>
      <w:pPr>
        <w:pStyle w:val="Heading3"/>
      </w:pPr>
      <w:r>
        <w:t xml:space="preserve">3.3 Colliders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9" w:name="def-collider"/>
          <w:p>
            <w:pPr>
              <w:pStyle w:val="BodyText"/>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19"/>
        </w:tc>
      </w:tr>
    </w:tbl>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20"/>
    <w:bookmarkEnd w:id="21"/>
    <w:bookmarkStart w:id="24"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22"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22"/>
    <w:bookmarkStart w:id="23"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23"/>
    <w:bookmarkEnd w:id="24"/>
    <w:bookmarkStart w:id="28"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25"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25"/>
    <w:bookmarkStart w:id="27" w:name="intermediate-confounder"/>
    <w:p>
      <w:pPr>
        <w:pStyle w:val="Heading3"/>
      </w:pPr>
      <w:r>
        <w:t xml:space="preserve">5.2 Intermediate Confounder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ntermediate-confounder"/>
          <w:p>
            <w:pPr>
              <w:pStyle w:val="BodyText"/>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26"/>
        </w:tc>
      </w:tr>
    </w:tbl>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27"/>
    <w:bookmarkEnd w:id="28"/>
    <w:bookmarkStart w:id="32"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29"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29"/>
    <w:bookmarkStart w:id="30"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30"/>
    <w:bookmarkStart w:id="31"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31"/>
    <w:bookmarkEnd w:id="32"/>
    <w:bookmarkStart w:id="35"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33"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33"/>
    <w:bookmarkStart w:id="34"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6"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2026-05-04T02:05:32Z</dcterms:created>
  <dcterms:modified xsi:type="dcterms:W3CDTF">2026-05-04T02:05:32Z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