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teraction-additive"/>
          <w:p>
            <w:pPr>
              <w:pStyle w:val="BodyText"/>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d>
                  <m:dPr>
                    <m:begChr m:val="("/>
                    <m:sepChr m:val=""/>
                    <m:endChr m:val=")"/>
                    <m:grow/>
                  </m:dPr>
                  <m:e>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e>
                </m:d>
                <m:r>
                  <m:rPr>
                    <m:sty m:val="p"/>
                  </m:rPr>
                  <m:t>+</m:t>
                </m:r>
                <m:d>
                  <m:dPr>
                    <m:begChr m:val="("/>
                    <m:sepChr m:val=""/>
                    <m:endChr m:val=")"/>
                    <m:grow/>
                  </m:dPr>
                  <m:e>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e>
                </m:d>
              </m:oMath>
            </m:oMathPara>
          </w:p>
          <w:p>
            <w:pPr>
              <w:pStyle w:val="FirstParagraph"/>
            </w:pPr>
            <w:r>
              <w:t xml:space="preserve">In words: the joint effect of both treatments differs from the sum of the individual effects.</w:t>
            </w:r>
          </w:p>
          <w:bookmarkEnd w:id="10"/>
        </w:tc>
      </w:tr>
    </w:tbl>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interaction-example"/>
          <w:p>
            <w:pPr>
              <w:pStyle w:val="BodyText"/>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w:p>
              </w:tc>
              <w:tc>
                <w:tcPr/>
                <w:p>
                  <w:pPr>
                    <w:pStyle w:val="Compact"/>
                  </w:pPr>
                  <w:r>
                    <w:t xml:space="preserve">0.30</w:t>
                  </w:r>
                </w:p>
              </w:tc>
            </w:tr>
            <w:tr>
              <w:tc>
                <w:tcPr/>
                <w:p>
                  <w:pPr>
                    <w:pStyle w:val="Compact"/>
                  </w:pPr>
                  <w:r>
                    <w:t xml:space="preserve">Aspirin only:</w:t>
                  </w:r>
                  <w:r>
                    <w:t xml:space="preserve"> </w:t>
                  </w:r>
                  <m:oMath>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oMath>
                </w:p>
              </w:tc>
              <w:tc>
                <w:tcPr/>
                <w:p>
                  <w:pPr>
                    <w:pStyle w:val="Compact"/>
                  </w:pPr>
                  <w:r>
                    <w:t xml:space="preserve">0.25</w:t>
                  </w:r>
                </w:p>
              </w:tc>
            </w:tr>
            <w:tr>
              <w:tc>
                <w:tcPr/>
                <w:p>
                  <w:pPr>
                    <w:pStyle w:val="Compact"/>
                  </w:pPr>
                  <w:r>
                    <w:t xml:space="preserve">Exercise only:</w:t>
                  </w:r>
                  <w:r>
                    <w:t xml:space="preserve"> </w:t>
                  </w:r>
                  <m:oMath>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oMath>
                </w:p>
              </w:tc>
              <w:tc>
                <w:tcPr/>
                <w:p>
                  <w:pPr>
                    <w:pStyle w:val="Compact"/>
                  </w:pPr>
                  <w:r>
                    <w:t xml:space="preserve">0.20</w:t>
                  </w:r>
                </w:p>
              </w:tc>
            </w:tr>
            <w:tr>
              <w:tc>
                <w:tcPr/>
                <w:p>
                  <w:pPr>
                    <w:pStyle w:val="Compact"/>
                  </w:pPr>
                  <w:r>
                    <w:t xml:space="preserve">Both aspirin and exercise:</w:t>
                  </w:r>
                  <w:r>
                    <w:t xml:space="preserve"> </w:t>
                  </w:r>
                  <m:oMath>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tc>
      </w:tr>
    </w:tbl>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rPr>
                  <m:nor/>
                  <m:sty m:val="p"/>
                </m:rPr>
                <m:t>E</m:t>
              </m:r>
              <m:d>
                <m:dPr>
                  <m:begChr m:val="["/>
                  <m:sepChr m:val=""/>
                  <m:endChr m:val="]"/>
                  <m:grow/>
                </m:dPr>
                <m:e>
                  <m:sSup>
                    <m:e>
                      <m:r>
                        <m:t>Y</m:t>
                      </m:r>
                    </m:e>
                    <m:sup>
                      <m:r>
                        <m:t>0</m:t>
                      </m:r>
                      <m:r>
                        <m:rPr>
                          <m:sty m:val="p"/>
                        </m:rPr>
                        <m:t>,</m:t>
                      </m:r>
                      <m:r>
                        <m:t>0</m:t>
                      </m:r>
                    </m:sup>
                  </m:sSup>
                </m:e>
              </m:d>
              <m:r>
                <m:rPr>
                  <m:sty m:val="p"/>
                </m:rPr>
                <m:t>=</m:t>
              </m:r>
              <m:r>
                <m:t>0.30</m:t>
              </m:r>
              <m:r>
                <m:rPr>
                  <m:sty m:val="p"/>
                </m:rPr>
                <m:t>+</m:t>
              </m:r>
              <m:r>
                <m:t>0.20</m:t>
              </m:r>
              <m:r>
                <m:rPr>
                  <m:sty m:val="p"/>
                </m:rPr>
                <m:t>+</m:t>
              </m:r>
              <m:r>
                <m:t>0.10</m:t>
              </m:r>
              <m:r>
                <m:rPr>
                  <m:sty m:val="p"/>
                </m:rPr>
                <m:t>=</m:t>
              </m:r>
              <m:r>
                <m:t>0.60</m:t>
              </m:r>
            </m:oMath>
          </w:p>
          <w:p>
            <w:pPr>
              <w:pStyle w:val="Compact"/>
              <w:numPr>
                <w:ilvl w:val="0"/>
                <w:numId w:val="1017"/>
              </w:numPr>
            </w:pPr>
            <m:oMath>
              <m:r>
                <m:rPr>
                  <m:nor/>
                  <m:sty m:val="p"/>
                </m:rPr>
                <m:t>E</m:t>
              </m:r>
              <m:d>
                <m:dPr>
                  <m:begChr m:val="["/>
                  <m:sepChr m:val=""/>
                  <m:endChr m:val="]"/>
                  <m:grow/>
                </m:dPr>
                <m:e>
                  <m:sSup>
                    <m:e>
                      <m:r>
                        <m:t>Y</m:t>
                      </m:r>
                    </m:e>
                    <m:sup>
                      <m:r>
                        <m:t>1</m:t>
                      </m:r>
                      <m:r>
                        <m:rPr>
                          <m:sty m:val="p"/>
                        </m:rPr>
                        <m:t>,</m:t>
                      </m:r>
                      <m:r>
                        <m:t>0</m:t>
                      </m:r>
                    </m:sup>
                  </m:sSup>
                </m:e>
              </m:d>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rPr>
                  <m:nor/>
                  <m:sty m:val="p"/>
                </m:rPr>
                <m:t>E</m:t>
              </m:r>
              <m:d>
                <m:dPr>
                  <m:begChr m:val="["/>
                  <m:sepChr m:val=""/>
                  <m:endChr m:val="]"/>
                  <m:grow/>
                </m:dPr>
                <m:e>
                  <m:sSup>
                    <m:e>
                      <m:r>
                        <m:t>Y</m:t>
                      </m:r>
                    </m:e>
                    <m:sup>
                      <m:r>
                        <m:t>0</m:t>
                      </m:r>
                      <m:r>
                        <m:rPr>
                          <m:sty m:val="p"/>
                        </m:rPr>
                        <m:t>,</m:t>
                      </m:r>
                      <m:r>
                        <m:t>1</m:t>
                      </m:r>
                    </m:sup>
                  </m:sSup>
                </m:e>
              </m:d>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rPr>
                  <m:nor/>
                  <m:sty m:val="p"/>
                </m:rPr>
                <m:t>E</m:t>
              </m:r>
              <m:d>
                <m:dPr>
                  <m:begChr m:val="["/>
                  <m:sepChr m:val=""/>
                  <m:endChr m:val="]"/>
                  <m:grow/>
                </m:dPr>
                <m:e>
                  <m:sSup>
                    <m:e>
                      <m:r>
                        <m:t>Y</m:t>
                      </m:r>
                    </m:e>
                    <m:sup>
                      <m:r>
                        <m:t>1</m:t>
                      </m:r>
                      <m:r>
                        <m:rPr>
                          <m:sty m:val="p"/>
                        </m:rPr>
                        <m:t>,</m:t>
                      </m:r>
                      <m:r>
                        <m:t>1</m:t>
                      </m:r>
                    </m:sup>
                  </m:sSup>
                </m:e>
              </m:d>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tc>
      </w:tr>
    </w:tbl>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tc>
      </w:tr>
    </w:tbl>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tc>
      </w:tr>
    </w:tbl>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tc>
      </w:tr>
    </w:tbl>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sufficient-cause-interaction"/>
          <w:p>
            <w:pPr>
              <w:pStyle w:val="BodyText"/>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tc>
      </w:tr>
    </w:tbl>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2026-07-17T23:19:02Z</dcterms:created>
  <dcterms:modified xsi:type="dcterms:W3CDTF">2026-07-17T23:19:02Z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