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1"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3" w:name="the-traditional-epidemiological-criteria"/>
    <w:p>
      <w:pPr>
        <w:pStyle w:val="Heading3"/>
      </w:pPr>
      <w:r>
        <w:t xml:space="preserve">4.1 The Traditional Epidemiological Criteria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traditional-confounder-criteria"/>
          <w:p>
            <w:pPr>
              <w:pStyle w:val="BodyText"/>
            </w:pPr>
            <w:r>
              <w:rPr>
                <w:b/>
                <w:bCs/>
              </w:rPr>
              <w:t xml:space="preserve">Definition 3 (Traditional Epidemiological Criteria for a Confounder)</w:t>
            </w:r>
            <w:r>
              <w:t xml:space="preserve"> </w:t>
            </w: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tc>
      </w:tr>
    </w:tbl>
    <w:bookmarkEnd w:id="33"/>
    <w:bookmarkStart w:id="40"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4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0"/>
    <w:bookmarkEnd w:id="41"/>
    <w:bookmarkStart w:id="46"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4" w:name="constructing-a-swig"/>
    <w:p>
      <w:pPr>
        <w:pStyle w:val="Heading3"/>
      </w:pPr>
      <w:r>
        <w:t xml:space="preserve">5.1 Constructing a SWIG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swig"/>
          <w:p>
            <w:pPr>
              <w:pStyle w:val="BodyText"/>
            </w:pPr>
            <w:r>
              <w:rPr>
                <w:b/>
                <w:bCs/>
              </w:rPr>
              <w:t xml:space="preserve">Definition 5 (Single-World Intervention Graph (SWIG))</w:t>
            </w:r>
            <w:r>
              <w:t xml:space="preserve"> </w:t>
            </w: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bookmarkEnd w:id="4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5"/>
    <w:bookmarkEnd w:id="46"/>
    <w:bookmarkStart w:id="4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7"/>
    <w:bookmarkStart w:id="51" w:name="references"/>
    <w:p>
      <w:pPr>
        <w:pStyle w:val="Heading2"/>
      </w:pPr>
      <w:r>
        <w:t xml:space="preserve">7 References</w:t>
      </w:r>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2026-08-20T19:35:53Z</dcterms:created>
  <dcterms:modified xsi:type="dcterms:W3CDTF">2026-08-20T19:35:53Z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