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onfounding-structure"/>
          <w:p>
            <w:pPr>
              <w:pStyle w:val="BodyText"/>
            </w:pPr>
            <w:r>
              <w:rPr>
                <w:b/>
                <w:bCs/>
              </w:rPr>
              <w:t xml:space="preserve">Definition 1 (Confounding Structure)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of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is not affected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(not a consequence of treatment)</w:t>
            </w:r>
          </w:p>
          <w:bookmarkEnd w:id="9"/>
        </w:tc>
      </w:tr>
    </w:tbl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confounding-exchangeability"/>
          <w:p>
            <w:pPr>
              <w:pStyle w:val="BodyText"/>
            </w:pPr>
            <w:r>
              <w:rPr>
                <w:b/>
                <w:bCs/>
              </w:rPr>
              <w:t xml:space="preserve">Example 1 (Confounding and Exchangeability)</w:t>
            </w:r>
            <w:r>
              <w:t xml:space="preserve"> </w:t>
            </w:r>
            <w:r>
              <w:t xml:space="preserve">Suppose exercise (</w:t>
            </w:r>
            <m:oMath>
              <m:r>
                <m:t>A</m:t>
              </m:r>
            </m:oMath>
            <w:r>
              <w:t xml:space="preserve">) affects heart disease (</w:t>
            </w:r>
            <m:oMath>
              <m:r>
                <m:t>Y</m:t>
              </m:r>
            </m:oMath>
            <w:r>
              <w:t xml:space="preserve">), and both are affected by age (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Without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Young and old people equally likely to exercise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(exchangeable)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With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more likely to exercise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have lower baseline risk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(not exchangeable)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Those who exercise would have had better outcomes even without exercising</w:t>
            </w:r>
          </w:p>
          <w:bookmarkEnd w:id="12"/>
        </w:tc>
      </w:tr>
    </w:tbl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exm-backdoor-confounding"/>
          <w:p>
            <w:pPr>
              <w:pStyle w:val="BodyText"/>
            </w:pPr>
            <w:r>
              <w:rPr>
                <w:b/>
                <w:bCs/>
              </w:rPr>
              <w:t xml:space="preserve">Example 2 (Identifying Confounders with the Backdoor Criterion)</w:t>
            </w:r>
            <w:r>
              <w:t xml:space="preserve"> </w:t>
            </w:r>
            <w:r>
              <w:rPr>
                <w:b/>
                <w:bCs/>
              </w:rPr>
              <w:t xml:space="preserve">Diagram 1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 → A → Y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Diagram 2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U → L → A → Y</w:t>
            </w:r>
            <w:r>
              <w:br/>
            </w:r>
            <w:r>
              <w:rPr>
                <w:rStyle w:val="VerbatimChar"/>
              </w:rPr>
              <w:t xml:space="preserve">      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paths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(if U causes Y)</w:t>
            </w:r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it 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measured)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Diagram 3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A → M → Y</w:t>
            </w:r>
            <w:r>
              <w:br/>
            </w:r>
            <w:r>
              <w:rPr>
                <w:rStyle w:val="VerbatimChar"/>
              </w:rPr>
              <w:t xml:space="preserve">L → A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Do NOT adjust for</w:t>
            </w:r>
            <w:r>
              <w:rPr>
                <w:b/>
                <w:bCs/>
              </w:rP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mediator (on the causal path), not a confounder</w:t>
            </w:r>
          </w:p>
          <w:bookmarkEnd w:id="16"/>
        </w:tc>
      </w:tr>
    </w:tbl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adjustment-methods"/>
          <w:p>
            <w:pPr>
              <w:pStyle w:val="BodyText"/>
            </w:pPr>
            <w:r>
              <w:rPr>
                <w:b/>
                <w:bCs/>
              </w:rPr>
              <w:t xml:space="preserve">Example 3 (Comparing Adjustment Methods)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: Effect of smoking (</w:t>
            </w:r>
            <m:oMath>
              <m:r>
                <m:t>A</m:t>
              </m:r>
            </m:oMath>
            <w:r>
              <w:t xml:space="preserve">) on lung cancer (</w:t>
            </w:r>
            <m:oMath>
              <m:r>
                <m:t>Y</m:t>
              </m:r>
            </m:oMath>
            <w:r>
              <w:t xml:space="preserve">), adjusting for age (</w:t>
            </w:r>
            <m:oMath>
              <m:r>
                <m:t>L</m:t>
              </m:r>
            </m:oMath>
            <w:r>
              <w:t xml:space="preserve">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Stratification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Estimate effect separately for age = 40, 50, 60, 70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Combine using weighted average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Regression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IP weighting</w:t>
            </w:r>
            <w:r>
              <w:t xml:space="preserve"> </w:t>
            </w:r>
            <w:r>
              <w:t xml:space="preserve">(Chapter 12):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(A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A, </w:t>
            </w:r>
            <w:r>
              <w:rPr>
                <w:rStyle w:val="AttributeTok"/>
              </w:rPr>
              <w:t xml:space="preserve">weights =</w:t>
            </w:r>
            <w:r>
              <w:rPr>
                <w:rStyle w:val="NormalTok"/>
              </w:rPr>
              <w:t xml:space="preserve"> weight,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Matching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For each smoker, find non-smoker of same age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Compare outcomes</w:t>
            </w:r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2026-04-30T05:38:58Z</dcterms:created>
  <dcterms:modified xsi:type="dcterms:W3CDTF">2026-04-30T05:38:58Z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