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24" w:name="randomization-pp.-13-16"/>
    <w:p>
      <w:pPr>
        <w:pStyle w:val="Heading2"/>
      </w:pPr>
      <w:r>
        <w:t xml:space="preserve">1 2.1 Randomization (pp. 13-16)</w: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21"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sup>
              </m:sSup>
              <m:r>
                <m:rPr>
                  <m:sty m:val="p"/>
                </m:rPr>
                <m:t>=</m:t>
              </m:r>
              <m:r>
                <m:t>1</m:t>
              </m:r>
            </m:e>
          </m:d>
        </m:oMath>
      </m:oMathPara>
    </w:p>
    <w:p>
      <w:pPr>
        <w:pStyle w:val="FirstParagraph"/>
      </w:pPr>
      <w:r>
        <w:t xml:space="preserve">for all values of</w:t>
      </w:r>
      <w:r>
        <w:t xml:space="preserve"> </w:t>
      </w:r>
      <m:oMath>
        <m:r>
          <m:t>a</m:t>
        </m:r>
      </m:oMath>
      <w:r>
        <w:t xml:space="preserve">.</w:t>
      </w:r>
    </w:p>
    <w:bookmarkStart w:id="20"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20"/>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21"/>
    <w:bookmarkStart w:id="22"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e>
          </m:d>
          <m:r>
            <m:rPr>
              <m:sty m:val="p"/>
            </m:rPr>
            <m:t>=</m:t>
          </m:r>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e>
          </m:d>
          <m:r>
            <m:rPr>
              <m:sty m:val="p"/>
            </m:rPr>
            <m:t>=</m:t>
          </m:r>
          <m:r>
            <m:t>P</m:t>
          </m:r>
          <m:r>
            <m:t>r</m:t>
          </m:r>
          <m:d>
            <m:dPr>
              <m:begChr m:val="["/>
              <m:sepChr m:val=""/>
              <m:endChr m:val="]"/>
              <m:grow/>
            </m:dPr>
            <m:e>
              <m:r>
                <m:t>A</m:t>
              </m:r>
              <m:r>
                <m:rPr>
                  <m:sty m:val="p"/>
                </m:rPr>
                <m:t>=</m:t>
              </m:r>
              <m:r>
                <m:t>1</m:t>
              </m:r>
            </m:e>
          </m:d>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22"/>
    <w:bookmarkStart w:id="23"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23"/>
    <w:bookmarkEnd w:id="24"/>
    <w:bookmarkStart w:id="29" w:name="conditional-randomization-pp.-16-18"/>
    <w:p>
      <w:pPr>
        <w:pStyle w:val="Heading2"/>
      </w:pPr>
      <w:r>
        <w:t xml:space="preserve">2 2.2 Conditional Randomization (pp. 16-18)</w: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25"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25"/>
    <w:bookmarkStart w:id="27"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26"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26"/>
    <w:p>
      <w:pPr>
        <w:pStyle w:val="BodyText"/>
      </w:pPr>
      <w:r>
        <w:t xml:space="preserve">Conditional exchangeability means: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27"/>
    <w:bookmarkStart w:id="28"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28"/>
    <w:bookmarkEnd w:id="29"/>
    <w:bookmarkStart w:id="34" w:name="standardization-pp.-18-21"/>
    <w:p>
      <w:pPr>
        <w:pStyle w:val="Heading2"/>
      </w:pPr>
      <w:r>
        <w:t xml:space="preserve">3 2.3 Standardization (pp. 18-21)</w: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31"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30"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30"/>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r>
              <m:rPr>
                <m:sty m:val="p"/>
              </m:rPr>
              <m:t>=</m:t>
            </m:r>
            <m:r>
              <m:t>l</m:t>
            </m:r>
          </m:e>
        </m:d>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31"/>
    <w:bookmarkStart w:id="32"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0</m:t>
            </m:r>
          </m:e>
        </m:d>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0</m:t>
            </m:r>
          </m:e>
        </m:d>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1</m:t>
            </m:r>
          </m:e>
        </m:d>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1</m:t>
            </m:r>
          </m:e>
        </m:d>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d>
          <m:dPr>
            <m:begChr m:val="["/>
            <m:sepChr m:val=""/>
            <m:endChr m:val="]"/>
            <m:grow/>
          </m:dPr>
          <m:e>
            <m:r>
              <m:t>L</m:t>
            </m:r>
            <m:r>
              <m:rPr>
                <m:sty m:val="p"/>
              </m:rPr>
              <m:t>=</m:t>
            </m:r>
            <m:r>
              <m:t>0</m:t>
            </m:r>
          </m:e>
        </m:d>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d>
          <m:dPr>
            <m:begChr m:val="["/>
            <m:sepChr m:val=""/>
            <m:endChr m:val="]"/>
            <m:grow/>
          </m:dPr>
          <m:e>
            <m:r>
              <m:t>L</m:t>
            </m:r>
            <m:r>
              <m:rPr>
                <m:sty m:val="p"/>
              </m:rPr>
              <m:t>=</m:t>
            </m:r>
            <m:r>
              <m:t>1</m:t>
            </m:r>
          </m:e>
        </m:d>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d>
          <m:dPr>
            <m:begChr m:val="("/>
            <m:sepChr m:val=""/>
            <m:endChr m:val=")"/>
            <m:grow/>
          </m:dPr>
          <m:e>
            <m:r>
              <m:t>7</m:t>
            </m:r>
            <m:r>
              <m:rPr>
                <m:sty m:val="p"/>
              </m:rPr>
              <m:t>/</m:t>
            </m:r>
            <m:r>
              <m:t>10</m:t>
            </m:r>
          </m:e>
        </m:d>
        <m:r>
          <m:rPr>
            <m:sty m:val="p"/>
          </m:rPr>
          <m:t>−</m:t>
        </m:r>
        <m:d>
          <m:dPr>
            <m:begChr m:val="("/>
            <m:sepChr m:val=""/>
            <m:endChr m:val=")"/>
            <m:grow/>
          </m:dPr>
          <m:e>
            <m:r>
              <m:t>5</m:t>
            </m:r>
            <m:r>
              <m:rPr>
                <m:sty m:val="p"/>
              </m:rPr>
              <m:t>/</m:t>
            </m:r>
            <m:r>
              <m:t>10</m:t>
            </m:r>
          </m:e>
        </m:d>
        <m:r>
          <m:rPr>
            <m:sty m:val="p"/>
          </m:rPr>
          <m:t>=</m:t>
        </m:r>
        <m:r>
          <m:t>0.2</m:t>
        </m:r>
      </m:oMath>
      <w:r>
        <w:t xml:space="preserve">.</w:t>
      </w:r>
    </w:p>
    <w:p>
      <w:pPr>
        <w:pStyle w:val="BodyText"/>
      </w:pPr>
      <w:r>
        <w:t xml:space="preserve">In general, the crude association</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32"/>
    <w:bookmarkStart w:id="33" w:name="interpretation"/>
    <w:p>
      <w:pPr>
        <w:pStyle w:val="Heading3"/>
      </w:pPr>
      <w:r>
        <w:t xml:space="preserve">3.3 Interpretation</w:t>
      </w:r>
    </w:p>
    <w:p>
      <w:pPr>
        <w:pStyle w:val="FirstParagraph"/>
      </w:pPr>
      <w:r>
        <w:t xml:space="preserve">The standardized mean</w:t>
      </w:r>
      <w:r>
        <w:t xml:space="preserve"> </w:t>
      </w:r>
      <m:oMath>
        <m: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33"/>
    <w:bookmarkEnd w:id="34"/>
    <w:bookmarkStart w:id="42" w:name="inverse-probability-weighting-pp.-21-24"/>
    <w:p>
      <w:pPr>
        <w:pStyle w:val="Heading2"/>
      </w:pPr>
      <w:r>
        <w:t xml:space="preserve">4 2.4 Inverse Probability Weighting (pp. 21-24)</w: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36"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bookmarkStart w:id="35"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p>
      <w:pPr>
        <w:pStyle w:val="FirstParagraph"/>
      </w:pPr>
      <w:r>
        <w:t xml:space="preserve">where</w:t>
      </w:r>
      <w:r>
        <w:t xml:space="preserve"> </w:t>
      </w:r>
      <m:oMath>
        <m:r>
          <m:t>P</m:t>
        </m:r>
        <m:r>
          <m:t>r</m:t>
        </m:r>
        <m:d>
          <m:dPr>
            <m:begChr m:val="["/>
            <m:sepChr m:val=""/>
            <m:endChr m:val="]"/>
            <m:grow/>
          </m:dPr>
          <m:e>
            <m:r>
              <m:t>A</m:t>
            </m:r>
            <m:r>
              <m:rPr>
                <m:sty m:val="p"/>
              </m:rPr>
              <m:t>|</m:t>
            </m:r>
            <m:r>
              <m:t>L</m:t>
            </m:r>
          </m:e>
        </m:d>
      </m:oMath>
      <w:r>
        <w:t xml:space="preserve"> </w:t>
      </w:r>
      <w:r>
        <w:t xml:space="preserve">is the probability (propensity) of receiving the treatment actually received, given covariates</w:t>
      </w:r>
      <w:r>
        <w:t xml:space="preserve"> </w:t>
      </w:r>
      <m:oMath>
        <m:r>
          <m:t>L</m:t>
        </m:r>
      </m:oMath>
      <w:r>
        <w:t xml:space="preserve">.</w:t>
      </w:r>
    </w:p>
    <w:bookmarkEnd w:id="35"/>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36"/>
    <w:bookmarkStart w:id="37"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f>
                <m:fPr>
                  <m:type m:val="bar"/>
                </m:fPr>
                <m:num>
                  <m:r>
                    <m:t>I</m:t>
                  </m:r>
                  <m:d>
                    <m:dPr>
                      <m:begChr m:val="("/>
                      <m:sepChr m:val=""/>
                      <m:endChr m:val=")"/>
                      <m:grow/>
                    </m:dPr>
                    <m:e>
                      <m:r>
                        <m:t>A</m:t>
                      </m:r>
                      <m:r>
                        <m:rPr>
                          <m:sty m:val="p"/>
                        </m:rPr>
                        <m:t>=</m:t>
                      </m:r>
                      <m:r>
                        <m:t>a</m:t>
                      </m:r>
                    </m:e>
                  </m:d>
                  <m:r>
                    <m:rPr>
                      <m:sty m:val="p"/>
                    </m:rPr>
                    <m:t>×</m:t>
                  </m:r>
                  <m:r>
                    <m:t>Y</m:t>
                  </m:r>
                </m:num>
                <m:den>
                  <m:r>
                    <m:t>P</m:t>
                  </m:r>
                  <m:r>
                    <m:t>r</m:t>
                  </m:r>
                  <m:d>
                    <m:dPr>
                      <m:begChr m:val="["/>
                      <m:sepChr m:val=""/>
                      <m:endChr m:val="]"/>
                      <m:grow/>
                    </m:dPr>
                    <m:e>
                      <m:r>
                        <m:t>A</m:t>
                      </m:r>
                      <m:r>
                        <m:rPr>
                          <m:sty m:val="p"/>
                        </m:rPr>
                        <m:t>=</m:t>
                      </m:r>
                      <m:r>
                        <m:t>a</m:t>
                      </m:r>
                      <m:r>
                        <m:rPr>
                          <m:sty m:val="p"/>
                        </m:rPr>
                        <m:t>|</m:t>
                      </m:r>
                      <m:r>
                        <m:t>L</m:t>
                      </m:r>
                    </m:e>
                  </m:d>
                </m:den>
              </m:f>
            </m:e>
          </m:d>
        </m:oMath>
      </m:oMathPara>
    </w:p>
    <w:p>
      <w:pPr>
        <w:pStyle w:val="FirstParagraph"/>
      </w:pPr>
      <w:r>
        <w:t xml:space="preserve">where</w:t>
      </w:r>
      <w:r>
        <w:t xml:space="preserve"> </w:t>
      </w:r>
      <m:oMath>
        <m:r>
          <m:t>I</m:t>
        </m:r>
        <m:d>
          <m:dPr>
            <m:begChr m:val="("/>
            <m:sepChr m:val=""/>
            <m:endChr m:val=")"/>
            <m:grow/>
          </m:dPr>
          <m:e>
            <m:r>
              <m:t>A</m:t>
            </m:r>
            <m:r>
              <m:rPr>
                <m:sty m:val="p"/>
              </m:rPr>
              <m:t>=</m:t>
            </m:r>
            <m:r>
              <m:t>a</m:t>
            </m:r>
          </m:e>
        </m:d>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1</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1</m:t>
                      </m:r>
                      <m:r>
                        <m:rPr>
                          <m:sty m:val="p"/>
                        </m:rPr>
                        <m:t>|</m:t>
                      </m:r>
                      <m:sSub>
                        <m:e>
                          <m:r>
                            <m:t>L</m:t>
                          </m:r>
                        </m:e>
                        <m:sub>
                          <m:r>
                            <m:t>i</m:t>
                          </m:r>
                        </m:sub>
                      </m:sSub>
                    </m:e>
                  </m:d>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0</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0</m:t>
                      </m:r>
                      <m:r>
                        <m:rPr>
                          <m:sty m:val="p"/>
                        </m:rPr>
                        <m:t>|</m:t>
                      </m:r>
                      <m:sSub>
                        <m:e>
                          <m:r>
                            <m:t>L</m:t>
                          </m:r>
                        </m:e>
                        <m:sub>
                          <m:r>
                            <m:t>i</m:t>
                          </m:r>
                        </m:sub>
                      </m:sSub>
                    </m:e>
                  </m:d>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1</m:t>
            </m:r>
            <m:r>
              <m:rPr>
                <m:sty m:val="p"/>
              </m:rPr>
              <m:t>|</m:t>
            </m:r>
            <m:sSub>
              <m:e>
                <m:r>
                  <m:t>L</m:t>
                </m:r>
              </m:e>
              <m:sub>
                <m:r>
                  <m:t>i</m:t>
                </m:r>
              </m:sub>
            </m:sSub>
          </m:e>
        </m:d>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0</m:t>
            </m:r>
            <m:r>
              <m:rPr>
                <m:sty m:val="p"/>
              </m:rPr>
              <m:t>|</m:t>
            </m:r>
            <m:sSub>
              <m:e>
                <m:r>
                  <m:t>L</m:t>
                </m:r>
              </m:e>
              <m:sub>
                <m:r>
                  <m:t>i</m:t>
                </m:r>
              </m:sub>
            </m:sSub>
          </m:e>
        </m:d>
      </m:oMath>
    </w:p>
    <w:p>
      <w:pPr>
        <w:pStyle w:val="FirstParagraph"/>
      </w:pPr>
      <w:r>
        <w:t xml:space="preserve">Then subtract the two weighted means.</w:t>
      </w:r>
    </w:p>
    <w:bookmarkEnd w:id="37"/>
    <w:bookmarkStart w:id="38"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38"/>
    <w:bookmarkStart w:id="39"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p>
        </w:tc>
        <w:tc>
          <w:tcPr/>
          <w:p>
            <w:pPr>
              <w:pStyle w:val="Compact"/>
            </w:p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d>
                <m:dPr>
                  <m:begChr m:val="["/>
                  <m:sepChr m:val=""/>
                  <m:endChr m:val="]"/>
                  <m:grow/>
                </m:dPr>
                <m:e>
                  <m:r>
                    <m:t>L</m:t>
                  </m:r>
                  <m:r>
                    <m:rPr>
                      <m:sty m:val="p"/>
                    </m:rPr>
                    <m:t>=</m:t>
                  </m:r>
                  <m:r>
                    <m:t>l</m:t>
                  </m:r>
                </m:e>
              </m:d>
            </m:oMath>
          </w:p>
        </w:tc>
        <w:tc>
          <w:tcPr/>
          <w:p>
            <w:pPr>
              <w:pStyle w:val="Compact"/>
            </w:pPr>
            <w:r>
              <w:t xml:space="preserve">Inverse treatment probabilities</w:t>
            </w:r>
            <w:r>
              <w:t xml:space="preserve"> </w:t>
            </w:r>
            <m:oMath>
              <m:r>
                <m:t>1</m:t>
              </m:r>
              <m:r>
                <m:rPr>
                  <m:sty m:val="p"/>
                </m:rPr>
                <m:t>/</m:t>
              </m:r>
              <m:r>
                <m:t>P</m:t>
              </m:r>
              <m:r>
                <m:t>r</m:t>
              </m:r>
              <m:d>
                <m:dPr>
                  <m:begChr m:val="["/>
                  <m:sepChr m:val=""/>
                  <m:endChr m:val="]"/>
                  <m:grow/>
                </m:dPr>
                <m:e>
                  <m:r>
                    <m:t>A</m:t>
                  </m:r>
                  <m:r>
                    <m:rPr>
                      <m:sty m:val="p"/>
                    </m:rPr>
                    <m:t>|</m:t>
                  </m:r>
                  <m:r>
                    <m:t>L</m:t>
                  </m:r>
                </m:e>
              </m:d>
            </m:oMath>
          </w:p>
        </w:tc>
      </w:tr>
      <w:tr>
        <w:tc>
          <w:tcPr/>
          <w:p>
            <w:pPr>
              <w:pStyle w:val="Compact"/>
            </w:pPr>
            <w:r>
              <w:rPr>
                <w:b/>
                <w:bCs/>
              </w:rPr>
              <w:t xml:space="preserve">Model</w:t>
            </w:r>
          </w:p>
        </w:tc>
        <w:tc>
          <w:tcPr/>
          <w:p>
            <w:pPr>
              <w:pStyle w:val="Compact"/>
            </w:pPr>
            <w:r>
              <w:t xml:space="preserve">Outcome model</w:t>
            </w:r>
            <w:r>
              <w:t xml:space="preserve"> </w:t>
            </w: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d>
                <m:dPr>
                  <m:begChr m:val="["/>
                  <m:sepChr m:val=""/>
                  <m:endChr m:val="]"/>
                  <m:grow/>
                </m:dPr>
                <m:e>
                  <m:r>
                    <m:t>A</m:t>
                  </m:r>
                  <m:r>
                    <m:rPr>
                      <m:sty m:val="p"/>
                    </m:rPr>
                    <m:t>|</m:t>
                  </m:r>
                  <m:r>
                    <m:t>L</m:t>
                  </m:r>
                </m:e>
              </m:d>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d>
          <m:dPr>
            <m:begChr m:val="["/>
            <m:sepChr m:val=""/>
            <m:endChr m:val="]"/>
            <m:grow/>
          </m:dPr>
          <m:e>
            <m:r>
              <m:t>A</m:t>
            </m:r>
            <m:r>
              <m:rPr>
                <m:sty m:val="p"/>
              </m:rPr>
              <m:t>|</m:t>
            </m:r>
            <m:r>
              <m:t>L</m:t>
            </m:r>
          </m:e>
        </m:d>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d>
          <m:dPr>
            <m:begChr m:val="["/>
            <m:sepChr m:val=""/>
            <m:endChr m:val="]"/>
            <m:grow/>
          </m:dPr>
          <m:e>
            <m:r>
              <m:t>A</m:t>
            </m:r>
            <m:r>
              <m:rPr>
                <m:sty m:val="p"/>
              </m:rPr>
              <m:t>|</m:t>
            </m:r>
            <m:r>
              <m:t>L</m:t>
            </m:r>
          </m:e>
        </m:d>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39"/>
    <w:bookmarkStart w:id="41"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d>
          <m:dPr>
            <m:begChr m:val="["/>
            <m:sepChr m:val=""/>
            <m:endChr m:val="]"/>
            <m:grow/>
          </m:dPr>
          <m:e>
            <m:r>
              <m:t>L</m:t>
            </m:r>
            <m:r>
              <m:rPr>
                <m:sty m:val="p"/>
              </m:rPr>
              <m:t>=</m:t>
            </m:r>
            <m:r>
              <m:t>l</m:t>
            </m:r>
          </m:e>
        </m:d>
        <m:r>
          <m:rPr>
            <m:sty m:val="p"/>
          </m:rPr>
          <m:t>&gt;</m:t>
        </m:r>
        <m:r>
          <m:t>0</m:t>
        </m:r>
      </m:oMath>
      <w:r>
        <w:t xml:space="preserve">, then</w:t>
      </w:r>
      <w:r>
        <w:t xml:space="preserve"> </w:t>
      </w: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w:r>
        <w:t xml:space="preserve"> </w:t>
      </w:r>
      <w:r>
        <w:t xml:space="preserve">for all</w:t>
      </w:r>
      <w:r>
        <w:t xml:space="preserve"> </w:t>
      </w:r>
      <m:oMath>
        <m:r>
          <m:t>a</m:t>
        </m:r>
      </m:oMath>
      <w:r>
        <w:t xml:space="preserve">.</w:t>
      </w:r>
    </w:p>
    <w:bookmarkStart w:id="40"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and for all treatment levels</w:t>
      </w:r>
      <w:r>
        <w:t xml:space="preserve"> </w:t>
      </w:r>
      <m:oMath>
        <m:r>
          <m:t>a</m:t>
        </m:r>
      </m:oMath>
      <w:r>
        <w:t xml:space="preserve">.</w:t>
      </w:r>
    </w:p>
    <w:bookmarkEnd w:id="40"/>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41"/>
    <w:bookmarkEnd w:id="42"/>
    <w:bookmarkStart w:id="43" w:name="summary"/>
    <w:p>
      <w:pPr>
        <w:pStyle w:val="Heading2"/>
      </w:pPr>
      <w:r>
        <w:t xml:space="preserve">5 Summary</w: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d>
          <m:dPr>
            <m:begChr m:val="["/>
            <m:sepChr m:val=""/>
            <m:endChr m:val="]"/>
            <m:grow/>
          </m:dPr>
          <m:e>
            <m:r>
              <m:t>A</m:t>
            </m:r>
            <m:r>
              <m:rPr>
                <m:sty m:val="p"/>
              </m:rPr>
              <m:t>|</m:t>
            </m:r>
            <m:r>
              <m:t>L</m:t>
            </m:r>
          </m:e>
        </m:d>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43"/>
    <w:bookmarkStart w:id="46" w:name="fine-point"/>
    <w:p>
      <w:pPr>
        <w:pStyle w:val="Heading2"/>
      </w:pPr>
      <w:r>
        <w:t xml:space="preserve">6 Fine Point</w:t>
      </w:r>
    </w:p>
    <w:bookmarkStart w:id="44"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d>
          <m:dPr>
            <m:begChr m:val="["/>
            <m:sepChr m:val=""/>
            <m:endChr m:val="]"/>
            <m:grow/>
          </m:dPr>
          <m:e>
            <m:sSup>
              <m:e>
                <m:r>
                  <m:t>Y</m:t>
                </m:r>
              </m:e>
              <m:sup>
                <m:r>
                  <m:t>z</m:t>
                </m:r>
                <m:r>
                  <m:rPr>
                    <m:sty m:val="p"/>
                  </m:rPr>
                  <m:t>=</m:t>
                </m:r>
                <m:r>
                  <m:t>1</m:t>
                </m:r>
              </m:sup>
            </m:sSup>
          </m:e>
        </m:d>
        <m:r>
          <m:rPr>
            <m:sty m:val="p"/>
          </m:rPr>
          <m:t>−</m:t>
        </m:r>
        <m: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44"/>
    <w:bookmarkStart w:id="45"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45"/>
    <w:bookmarkEnd w:id="46"/>
    <w:bookmarkStart w:id="49" w:name="technical-point"/>
    <w:p>
      <w:pPr>
        <w:pStyle w:val="Heading2"/>
      </w:pPr>
      <w:r>
        <w:t xml:space="preserve">7 Technical Point</w:t>
      </w:r>
    </w:p>
    <w:bookmarkStart w:id="47"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r>
                <m:rPr>
                  <m:sty m:val="p"/>
                </m:rPr>
                <m:t>|</m:t>
              </m:r>
              <m:r>
                <m:t>L</m:t>
              </m:r>
              <m:r>
                <m:rPr>
                  <m:sty m:val="p"/>
                </m:rPr>
                <m:t>=</m:t>
              </m:r>
              <m:r>
                <m:t>l</m:t>
              </m:r>
            </m:e>
          </m:d>
          <m:r>
            <m:rPr>
              <m:sty m:val="p"/>
            </m:rPr>
            <m:t>=</m:t>
          </m:r>
          <m: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47"/>
    <w:bookmarkStart w:id="48"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d>
          <m:dPr>
            <m:begChr m:val="["/>
            <m:sepChr m:val=""/>
            <m:endChr m:val="]"/>
            <m:grow/>
          </m:dPr>
          <m:e>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r>
          <m:rPr>
            <m:sty m:val="p"/>
          </m:rPr>
          <m:t>=</m:t>
        </m:r>
        <m:r>
          <m:t>1</m:t>
        </m:r>
      </m:oMath>
      <w:r>
        <w:t xml:space="preserve">.</w:t>
      </w:r>
    </w:p>
    <w:bookmarkEnd w:id="48"/>
    <w:bookmarkEnd w:id="49"/>
    <w:bookmarkStart w:id="52" w:name="references"/>
    <w:p>
      <w:pPr>
        <w:pStyle w:val="Heading2"/>
      </w:pPr>
      <w:r>
        <w:t xml:space="preserve">8 References</w:t>
      </w:r>
    </w:p>
    <w:bookmarkStart w:id="51" w:name="refs"/>
    <w:bookmarkStart w:id="5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2026-01-08T19:49:07Z</dcterms:created>
  <dcterms:modified xsi:type="dcterms:W3CDTF">2026-01-08T19:49:07Z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