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25" w:name="Xbf068369dc8234d22997083619e4719bd8f8498"/>
    <w:p>
      <w:pPr>
        <w:pStyle w:val="Heading2"/>
      </w:pPr>
      <w:r>
        <w:t xml:space="preserve">1 5.1 Interaction Requires a Joint Intervention (pp. 47-49)</w: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20"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d>
          <m:dPr>
            <m:begChr m:val="("/>
            <m:sepChr m:val=""/>
            <m:endChr m:val=")"/>
            <m:grow/>
          </m:dPr>
          <m:e>
            <m:r>
              <m:t>A</m:t>
            </m:r>
            <m:r>
              <m:rPr>
                <m:sty m:val="p"/>
              </m:rPr>
              <m:t>=</m:t>
            </m:r>
            <m:r>
              <m:t>0</m:t>
            </m:r>
            <m:r>
              <m:rPr>
                <m:sty m:val="p"/>
              </m:rPr>
              <m:t>,</m:t>
            </m:r>
            <m:r>
              <m:t>E</m:t>
            </m:r>
            <m:r>
              <m:rPr>
                <m:sty m:val="p"/>
              </m:rPr>
              <m:t>=</m:t>
            </m:r>
            <m:r>
              <m:t>0</m:t>
            </m:r>
          </m:e>
        </m:d>
      </m:oMath>
      <w:r>
        <w:t xml:space="preserve">: Neither treatment</w:t>
      </w:r>
      <w:r>
        <w:t xml:space="preserve"> </w:t>
      </w:r>
      <w:r>
        <w:t xml:space="preserve">2.</w:t>
      </w:r>
      <w:r>
        <w:t xml:space="preserve"> </w:t>
      </w:r>
      <m:oMath>
        <m:d>
          <m:dPr>
            <m:begChr m:val="("/>
            <m:sepChr m:val=""/>
            <m:endChr m:val=")"/>
            <m:grow/>
          </m:dPr>
          <m:e>
            <m:r>
              <m:t>A</m:t>
            </m:r>
            <m:r>
              <m:rPr>
                <m:sty m:val="p"/>
              </m:rPr>
              <m:t>=</m:t>
            </m:r>
            <m:r>
              <m:t>1</m:t>
            </m:r>
            <m:r>
              <m:rPr>
                <m:sty m:val="p"/>
              </m:rPr>
              <m:t>,</m:t>
            </m:r>
            <m:r>
              <m:t>E</m:t>
            </m:r>
            <m:r>
              <m:rPr>
                <m:sty m:val="p"/>
              </m:rPr>
              <m:t>=</m:t>
            </m:r>
            <m:r>
              <m:t>0</m:t>
            </m:r>
          </m:e>
        </m:d>
      </m:oMath>
      <w:r>
        <w:t xml:space="preserve">: Aspirin only</w:t>
      </w:r>
      <w:r>
        <w:t xml:space="preserve"> </w:t>
      </w:r>
      <w:r>
        <w:t xml:space="preserve">3.</w:t>
      </w:r>
      <w:r>
        <w:t xml:space="preserve"> </w:t>
      </w:r>
      <m:oMath>
        <m:d>
          <m:dPr>
            <m:begChr m:val="("/>
            <m:sepChr m:val=""/>
            <m:endChr m:val=")"/>
            <m:grow/>
          </m:dPr>
          <m:e>
            <m:r>
              <m:t>A</m:t>
            </m:r>
            <m:r>
              <m:rPr>
                <m:sty m:val="p"/>
              </m:rPr>
              <m:t>=</m:t>
            </m:r>
            <m:r>
              <m:t>0</m:t>
            </m:r>
            <m:r>
              <m:rPr>
                <m:sty m:val="p"/>
              </m:rPr>
              <m:t>,</m:t>
            </m:r>
            <m:r>
              <m:t>E</m:t>
            </m:r>
            <m:r>
              <m:rPr>
                <m:sty m:val="p"/>
              </m:rPr>
              <m:t>=</m:t>
            </m:r>
            <m:r>
              <m:t>1</m:t>
            </m:r>
          </m:e>
        </m:d>
      </m:oMath>
      <w:r>
        <w:t xml:space="preserve">: Blood pressure medication only</w:t>
      </w:r>
      <w:r>
        <w:br/>
      </w:r>
      <w:r>
        <w:t xml:space="preserve">4.</w:t>
      </w:r>
      <w:r>
        <w:t xml:space="preserve"> </w:t>
      </w:r>
      <m:oMath>
        <m:d>
          <m:dPr>
            <m:begChr m:val="("/>
            <m:sepChr m:val=""/>
            <m:endChr m:val=")"/>
            <m:grow/>
          </m:dPr>
          <m:e>
            <m:r>
              <m:t>A</m:t>
            </m:r>
            <m:r>
              <m:rPr>
                <m:sty m:val="p"/>
              </m:rPr>
              <m:t>=</m:t>
            </m:r>
            <m:r>
              <m:t>1</m:t>
            </m:r>
            <m:r>
              <m:rPr>
                <m:sty m:val="p"/>
              </m:rPr>
              <m:t>,</m:t>
            </m:r>
            <m:r>
              <m:t>E</m:t>
            </m:r>
            <m:r>
              <m:rPr>
                <m:sty m:val="p"/>
              </m:rPr>
              <m:t>=</m:t>
            </m:r>
            <m:r>
              <m:t>1</m:t>
            </m:r>
          </m:e>
        </m:d>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20"/>
    <w:bookmarkStart w:id="22" w:name="definition-of-interaction"/>
    <w:p>
      <w:pPr>
        <w:pStyle w:val="Heading3"/>
      </w:pPr>
      <w:r>
        <w:t xml:space="preserve">1.2 Definition of Interaction</w:t>
      </w:r>
    </w:p>
    <w:bookmarkStart w:id="21" w:name="def-interaction-additive"/>
    <w:p>
      <w:pPr>
        <w:pStyle w:val="FirstParagraph"/>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21"/>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22"/>
    <w:bookmarkStart w:id="24" w:name="X901d5386f66054a648038aefd77024f717d79a2"/>
    <w:p>
      <w:pPr>
        <w:pStyle w:val="Heading3"/>
      </w:pPr>
      <w:r>
        <w:t xml:space="preserve">1.3 Example: Interaction Between Aspirin and Exercise</w:t>
      </w:r>
    </w:p>
    <w:bookmarkStart w:id="23" w:name="exm-interaction-example"/>
    <w:p>
      <w:pPr>
        <w:pStyle w:val="FirstParagraph"/>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d>
          <m:dPr>
            <m:begChr m:val="("/>
            <m:sepChr m:val=""/>
            <m:endChr m:val=")"/>
            <m:grow/>
          </m:dPr>
          <m:e>
            <m:r>
              <m:rPr>
                <m:sty m:val="p"/>
              </m:rPr>
              <m:t>−</m:t>
            </m:r>
            <m:r>
              <m:t>0.10</m:t>
            </m:r>
          </m:e>
        </m:d>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d>
          <m:dPr>
            <m:begChr m:val="("/>
            <m:sepChr m:val=""/>
            <m:endChr m:val=")"/>
            <m:grow/>
          </m:dPr>
          <m:e>
            <m:r>
              <m:rPr>
                <m:sty m:val="p"/>
              </m:rPr>
              <m:t>−</m:t>
            </m:r>
            <m:r>
              <m:t>0.15</m:t>
            </m:r>
          </m:e>
        </m:d>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23"/>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d>
          <m:dPr>
            <m:begChr m:val="|"/>
            <m:sepChr m:val=""/>
            <m:endChr m:val="|"/>
            <m:grow/>
          </m:dPr>
          <m:e>
            <m:r>
              <m:rPr>
                <m:nor/>
                <m:sty m:val="p"/>
              </m:rPr>
              <m:t>Joint effect</m:t>
            </m:r>
          </m:e>
        </m:d>
        <m:r>
          <m:rPr>
            <m:sty m:val="p"/>
          </m:rPr>
          <m:t>&gt;</m:t>
        </m:r>
        <m:d>
          <m:dPr>
            <m:begChr m:val="|"/>
            <m:sepChr m:val=""/>
            <m:endChr m:val="|"/>
            <m:grow/>
          </m:dPr>
          <m:e>
            <m:r>
              <m:rPr>
                <m:nor/>
                <m:sty m:val="p"/>
              </m:rPr>
              <m:t>Sum of individual effects</m:t>
            </m:r>
          </m:e>
        </m:d>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d>
          <m:dPr>
            <m:begChr m:val="|"/>
            <m:sepChr m:val=""/>
            <m:endChr m:val="|"/>
            <m:grow/>
          </m:dPr>
          <m:e>
            <m:r>
              <m:rPr>
                <m:nor/>
                <m:sty m:val="p"/>
              </m:rPr>
              <m:t>Joint effect</m:t>
            </m:r>
          </m:e>
        </m:d>
        <m:r>
          <m:rPr>
            <m:sty m:val="p"/>
          </m:rPr>
          <m:t>&lt;</m:t>
        </m:r>
        <m:d>
          <m:dPr>
            <m:begChr m:val="|"/>
            <m:sepChr m:val=""/>
            <m:endChr m:val="|"/>
            <m:grow/>
          </m:dPr>
          <m:e>
            <m:r>
              <m:rPr>
                <m:nor/>
                <m:sty m:val="p"/>
              </m:rPr>
              <m:t>Sum of individual effects</m:t>
            </m:r>
          </m:e>
        </m:d>
      </m:oMath>
    </w:p>
    <w:bookmarkEnd w:id="24"/>
    <w:bookmarkEnd w:id="25"/>
    <w:bookmarkStart w:id="28" w:name="identifying-interaction-pp.-49-51"/>
    <w:p>
      <w:pPr>
        <w:pStyle w:val="Heading2"/>
      </w:pPr>
      <w:r>
        <w:t xml:space="preserve">2 5.2 Identifying Interaction (pp. 49-51)</w:t>
      </w:r>
    </w:p>
    <w:p>
      <w:pPr>
        <w:pStyle w:val="FirstParagraph"/>
      </w:pPr>
      <w:r>
        <w:t xml:space="preserve">To identify interaction from observed data, we need the three identifiability conditions introduced in Chapter 3:</w:t>
      </w:r>
    </w:p>
    <w:bookmarkStart w:id="26"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d>
          <m:dPr>
            <m:begChr m:val="("/>
            <m:sepChr m:val=""/>
            <m:endChr m:val=")"/>
            <m:grow/>
          </m:dPr>
          <m:e>
            <m:r>
              <m:t>A</m:t>
            </m:r>
            <m:r>
              <m:rPr>
                <m:sty m:val="p"/>
              </m:rPr>
              <m:t>,</m:t>
            </m:r>
            <m:r>
              <m:t>E</m:t>
            </m:r>
          </m:e>
        </m:d>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d>
            <m:dPr>
              <m:begChr m:val="("/>
              <m:sepChr m:val=""/>
              <m:endChr m:val=")"/>
              <m:grow/>
            </m:dPr>
            <m:e>
              <m:r>
                <m:t>A</m:t>
              </m:r>
              <m:r>
                <m:rPr>
                  <m:sty m:val="p"/>
                </m:rPr>
                <m:t>,</m:t>
              </m:r>
              <m:r>
                <m:t>E</m:t>
              </m:r>
            </m:e>
          </m:d>
          <m:r>
            <m:t> </m:t>
          </m:r>
          <m:r>
            <m:rPr>
              <m:nor/>
              <m:sty m:val="p"/>
            </m:rPr>
            <m:t>for all </m:t>
          </m:r>
          <m:d>
            <m:dPr>
              <m:begChr m:val="("/>
              <m:sepChr m:val=""/>
              <m:endChr m:val=")"/>
              <m:grow/>
            </m:dPr>
            <m:e>
              <m:r>
                <m:t>a</m:t>
              </m:r>
              <m:r>
                <m:rPr>
                  <m:sty m:val="p"/>
                </m:rPr>
                <m:t>,</m:t>
              </m:r>
              <m:r>
                <m:t>e</m:t>
              </m:r>
            </m:e>
          </m:d>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d>
            <m:dPr>
              <m:begChr m:val="["/>
              <m:sepChr m:val=""/>
              <m:endChr m:val="]"/>
              <m:grow/>
            </m:dPr>
            <m:e>
              <m:r>
                <m:t>A</m:t>
              </m:r>
              <m:r>
                <m:rPr>
                  <m:sty m:val="p"/>
                </m:rPr>
                <m:t>=</m:t>
              </m:r>
              <m:r>
                <m:t>a</m:t>
              </m:r>
              <m:r>
                <m:rPr>
                  <m:sty m:val="p"/>
                </m:rPr>
                <m:t>,</m:t>
              </m:r>
              <m:r>
                <m:t>E</m:t>
              </m:r>
              <m:r>
                <m:rPr>
                  <m:sty m:val="p"/>
                </m:rPr>
                <m:t>=</m:t>
              </m:r>
              <m:r>
                <m:t>e</m:t>
              </m:r>
            </m:e>
          </m:d>
          <m:r>
            <m:rPr>
              <m:sty m:val="p"/>
            </m:rPr>
            <m:t>&gt;</m:t>
          </m:r>
          <m:r>
            <m:t>0</m:t>
          </m:r>
          <m:r>
            <m:t> </m:t>
          </m:r>
          <m:r>
            <m:rPr>
              <m:nor/>
              <m:sty m:val="p"/>
            </m:rPr>
            <m:t>for all </m:t>
          </m:r>
          <m:d>
            <m:dPr>
              <m:begChr m:val="("/>
              <m:sepChr m:val=""/>
              <m:endChr m:val=")"/>
              <m:grow/>
            </m:dPr>
            <m:e>
              <m:r>
                <m:t>a</m:t>
              </m:r>
              <m:r>
                <m:rPr>
                  <m:sty m:val="p"/>
                </m:rPr>
                <m:t>,</m:t>
              </m:r>
              <m:r>
                <m:t>e</m:t>
              </m:r>
            </m:e>
          </m:d>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d>
          <m:dPr>
            <m:begChr m:val="("/>
            <m:sepChr m:val=""/>
            <m:endChr m:val=")"/>
            <m:grow/>
          </m:dPr>
          <m:e>
            <m:r>
              <m:t>A</m:t>
            </m:r>
            <m:r>
              <m:rPr>
                <m:sty m:val="p"/>
              </m:rPr>
              <m:t>,</m:t>
            </m:r>
            <m:r>
              <m:t>E</m:t>
            </m:r>
          </m:e>
        </m:d>
      </m:oMath>
      <w:r>
        <w:t xml:space="preserve"> </w:t>
      </w:r>
      <w:r>
        <w:t xml:space="preserve">as a single joint treatment with four levels:</w:t>
      </w:r>
      <w:r>
        <w:t xml:space="preserve"> </w:t>
      </w:r>
      <m:oMath>
        <m:d>
          <m:dPr>
            <m:begChr m:val="("/>
            <m:sepChr m:val=""/>
            <m:endChr m:val=")"/>
            <m:grow/>
          </m:dPr>
          <m:e>
            <m:r>
              <m:t>0</m:t>
            </m:r>
            <m:r>
              <m:rPr>
                <m:sty m:val="p"/>
              </m:rPr>
              <m:t>,</m:t>
            </m:r>
            <m:r>
              <m:t>0</m:t>
            </m:r>
          </m:e>
        </m:d>
        <m:r>
          <m:rPr>
            <m:sty m:val="p"/>
          </m:rPr>
          <m:t>,</m:t>
        </m:r>
        <m:d>
          <m:dPr>
            <m:begChr m:val="("/>
            <m:sepChr m:val=""/>
            <m:endChr m:val=")"/>
            <m:grow/>
          </m:dPr>
          <m:e>
            <m:r>
              <m:t>1</m:t>
            </m:r>
            <m:r>
              <m:rPr>
                <m:sty m:val="p"/>
              </m:rPr>
              <m:t>,</m:t>
            </m:r>
            <m:r>
              <m:t>0</m:t>
            </m:r>
          </m:e>
        </m:d>
        <m:r>
          <m:rPr>
            <m:sty m:val="p"/>
          </m:rPr>
          <m:t>,</m:t>
        </m:r>
        <m:d>
          <m:dPr>
            <m:begChr m:val="("/>
            <m:sepChr m:val=""/>
            <m:endChr m:val=")"/>
            <m:grow/>
          </m:dPr>
          <m:e>
            <m:r>
              <m:t>0</m:t>
            </m:r>
            <m:r>
              <m:rPr>
                <m:sty m:val="p"/>
              </m:rPr>
              <m:t>,</m:t>
            </m:r>
            <m:r>
              <m:t>1</m:t>
            </m:r>
          </m:e>
        </m:d>
        <m:r>
          <m:rPr>
            <m:sty m:val="p"/>
          </m:rPr>
          <m:t>,</m:t>
        </m:r>
        <m:d>
          <m:dPr>
            <m:begChr m:val="("/>
            <m:sepChr m:val=""/>
            <m:endChr m:val=")"/>
            <m:grow/>
          </m:dPr>
          <m:e>
            <m:r>
              <m:t>1</m:t>
            </m:r>
            <m:r>
              <m:rPr>
                <m:sty m:val="p"/>
              </m:rPr>
              <m:t>,</m:t>
            </m:r>
            <m:r>
              <m:t>1</m:t>
            </m:r>
          </m:e>
        </m:d>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d>
          <m:dPr>
            <m:begChr m:val="("/>
            <m:sepChr m:val=""/>
            <m:endChr m:val=")"/>
            <m:grow/>
          </m:dPr>
          <m:e>
            <m:r>
              <m:t>A</m:t>
            </m:r>
            <m:r>
              <m:rPr>
                <m:sty m:val="p"/>
              </m:rPr>
              <m:t>,</m:t>
            </m:r>
            <m:r>
              <m:t>E</m:t>
            </m:r>
          </m:e>
        </m:d>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26"/>
    <w:bookmarkStart w:id="27"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d>
          <m:dPr>
            <m:begChr m:val="("/>
            <m:sepChr m:val=""/>
            <m:endChr m:val=")"/>
            <m:grow/>
          </m:dPr>
          <m:e>
            <m:r>
              <m:t>a</m:t>
            </m:r>
            <m:r>
              <m:rPr>
                <m:sty m:val="p"/>
              </m:rPr>
              <m:t>,</m:t>
            </m:r>
            <m:r>
              <m:t>e</m:t>
            </m:r>
          </m:e>
        </m:d>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27"/>
    <w:bookmarkEnd w:id="28"/>
    <w:bookmarkStart w:id="32" w:name="Xef21a2c584469d38b821fcc75ad481b442f5292"/>
    <w:p>
      <w:pPr>
        <w:pStyle w:val="Heading2"/>
      </w:pPr>
      <w:r>
        <w:t xml:space="preserve">3 5.3 Counterfactual Response Types and Interaction (pp. 51-53)</w: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29"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29"/>
    <w:bookmarkStart w:id="31"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bookmarkStart w:id="30"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30"/>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31"/>
    <w:bookmarkEnd w:id="32"/>
    <w:bookmarkStart w:id="36" w:name="sufficient-causes-pp.-53-55"/>
    <w:p>
      <w:pPr>
        <w:pStyle w:val="Heading2"/>
      </w:pPr>
      <w:r>
        <w:t xml:space="preserve">4 5.4 Sufficient Causes (pp. 53-55)</w: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bookmarkStart w:id="33"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33"/>
    <w:bookmarkStart w:id="35"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bookmarkStart w:id="34"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34"/>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35"/>
    <w:bookmarkEnd w:id="36"/>
    <w:bookmarkStart w:id="40" w:name="sufficient-cause-interaction-pp.-55-57"/>
    <w:p>
      <w:pPr>
        <w:pStyle w:val="Heading2"/>
      </w:pPr>
      <w:r>
        <w:t xml:space="preserve">5 5.5 Sufficient Cause Interaction (pp. 55-57)</w:t>
      </w:r>
    </w:p>
    <w:p>
      <w:pPr>
        <w:pStyle w:val="FirstParagraph"/>
      </w:pPr>
      <w:r>
        <w:t xml:space="preserve">Within the sufficient cause framework, we can define a specific type of interaction:</w:t>
      </w:r>
    </w:p>
    <w:bookmarkStart w:id="37"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37"/>
    <w:bookmarkStart w:id="39"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bookmarkStart w:id="38" w:name="exm-sufficient-cause-interaction"/>
    <w:p>
      <w:pPr>
        <w:pStyle w:val="FirstParagraph"/>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38"/>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39"/>
    <w:bookmarkEnd w:id="40"/>
    <w:bookmarkStart w:id="43" w:name="Xc89e552d54ee2cf9354a1d14811aa7db5c689e2"/>
    <w:p>
      <w:pPr>
        <w:pStyle w:val="Heading2"/>
      </w:pPr>
      <w:r>
        <w:t xml:space="preserve">6 5.6 Counterfactuals or Sufficient-Component Causes? (pp. 57-58)</w:t>
      </w:r>
    </w:p>
    <w:p>
      <w:pPr>
        <w:pStyle w:val="FirstParagraph"/>
      </w:pPr>
      <w:r>
        <w:t xml:space="preserve">Should we use the counterfactual (potential outcomes) framework or the sufficient cause framework to study interaction?</w:t>
      </w:r>
    </w:p>
    <w:bookmarkStart w:id="41"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41"/>
    <w:bookmarkStart w:id="42"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42"/>
    <w:bookmarkEnd w:id="43"/>
    <w:bookmarkStart w:id="44" w:name="summary"/>
    <w:p>
      <w:pPr>
        <w:pStyle w:val="Heading2"/>
      </w:pPr>
      <w:r>
        <w:t xml:space="preserve">7 Summary</w: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d>
          <m:dPr>
            <m:begChr m:val="("/>
            <m:sepChr m:val=""/>
            <m:endChr m:val=")"/>
            <m:grow/>
          </m:dPr>
          <m:e>
            <m:r>
              <m:t>A</m:t>
            </m:r>
            <m:r>
              <m:rPr>
                <m:sty m:val="p"/>
              </m:rPr>
              <m:t>,</m:t>
            </m:r>
            <m:r>
              <m:t>E</m:t>
            </m:r>
          </m:e>
        </m:d>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44"/>
    <w:bookmarkStart w:id="47" w:name="references"/>
    <w:p>
      <w:pPr>
        <w:pStyle w:val="Heading2"/>
      </w:pPr>
      <w:r>
        <w:t xml:space="preserve">8 References</w: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2026-01-08T19:09:53Z</dcterms:created>
  <dcterms:modified xsi:type="dcterms:W3CDTF">2026-01-08T19:09:53Z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