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1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In a linear structural equation model, this decomposition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indirect effect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“product of coefficients”</w:t>
      </w:r>
      <w:r>
        <w:t xml:space="preserve">)</w:t>
      </w:r>
      <w:r>
        <w:t xml:space="preserve"> </w:t>
      </w:r>
      <w:r>
        <w:t xml:space="preserve">and the direct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total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0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1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9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0"/>
    <w:bookmarkEnd w:id="11"/>
    <w:bookmarkStart w:id="15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2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3"/>
        </w:tc>
      </w:tr>
    </w:tbl>
    <w:bookmarkStart w:id="14" w:name="the-decomposition"/>
    <w:p>
      <w:pPr>
        <w:pStyle w:val="Heading3"/>
      </w:pPr>
      <w:r>
        <w:t xml:space="preserve">2.1 The Decomposition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NDE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NIE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decomposition always holds on the additive (difference) scale.</w:t>
      </w:r>
      <w:r>
        <w:t xml:space="preserve"> </w:t>
      </w: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4"/>
    <w:bookmarkEnd w:id="15"/>
    <w:bookmarkStart w:id="18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4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6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7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7"/>
    <w:bookmarkEnd w:id="18"/>
    <w:bookmarkStart w:id="26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5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0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0"/>
    <w:bookmarkStart w:id="25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6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1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5"/>
    <w:bookmarkEnd w:id="26"/>
    <w:bookmarkStart w:id="2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7"/>
    <w:bookmarkStart w:id="3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2026-07-16T18:38:12Z</dcterms:created>
  <dcterms:modified xsi:type="dcterms:W3CDTF">2026-07-16T18:38:12Z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