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11"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9"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9"/>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10"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10"/>
    <w:bookmarkEnd w:id="11"/>
    <w:bookmarkStart w:id="16"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12"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12"/>
    <w:p>
      <w:pPr>
        <w:pStyle w:val="BodyText"/>
      </w:pPr>
      <w:r>
        <w:t xml:space="preserve">Under conditional exchangeability:</w:t>
      </w:r>
    </w:p>
    <w:p>
      <w:pPr>
        <w:pStyle w:val="BodyText"/>
      </w:pPr>
      <m:oMathPara>
        <m:oMathParaPr>
          <m:jc m:val="center"/>
        </m:oMathParaPr>
        <m:oMath>
          <m:r>
            <m:t>P</m:t>
          </m:r>
          <m:r>
            <m:t>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rPr>
              <m:sty m:val="p"/>
            </m:rPr>
            <m:t>=</m:t>
          </m:r>
          <m:r>
            <m:t>P</m:t>
          </m:r>
          <m:r>
            <m:t>r</m:t>
          </m:r>
          <m:r>
            <m:rPr>
              <m:sty m:val="p"/>
            </m:rPr>
            <m:t>[</m:t>
          </m:r>
          <m:sSup>
            <m:e>
              <m:r>
                <m:t>Y</m:t>
              </m:r>
            </m:e>
            <m:sup>
              <m:r>
                <m:t>a</m:t>
              </m:r>
            </m:sup>
          </m:sSup>
          <m:r>
            <m:rPr>
              <m:sty m:val="p"/>
            </m:rPr>
            <m:t>=</m:t>
          </m:r>
          <m:r>
            <m:t>1</m:t>
          </m:r>
          <m:r>
            <m:rPr>
              <m:sty m:val="p"/>
            </m:rPr>
            <m:t>|</m:t>
          </m:r>
          <m:r>
            <m:t>L</m:t>
          </m:r>
          <m:r>
            <m:rPr>
              <m:sty m:val="p"/>
            </m:rPr>
            <m:t>]</m:t>
          </m:r>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14"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13"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t>A</m:t>
          </m:r>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1</m:t>
          </m:r>
          <m:r>
            <m:rPr>
              <m:sty m:val="p"/>
            </m:rPr>
            <m:t>|</m:t>
          </m:r>
          <m:r>
            <m:t>A</m:t>
          </m:r>
          <m:r>
            <m:rPr>
              <m:sty m:val="p"/>
            </m:rPr>
            <m:t>=</m:t>
          </m:r>
          <m:r>
            <m:t>0</m:t>
          </m:r>
          <m:r>
            <m:rPr>
              <m:sty m:val="p"/>
            </m:rPr>
            <m:t>]</m:t>
          </m:r>
        </m:oMath>
      </m:oMathPara>
    </w:p>
    <w:p>
      <w:pPr>
        <w:pStyle w:val="FirstParagraph"/>
      </w:pPr>
      <w:r>
        <w:t xml:space="preserve">The potential outcome under smoking is not independent of actual smoking status. The treated (smokers) are not exchangeable with the untreated (non-smokers).</w:t>
      </w:r>
    </w:p>
    <w:bookmarkEnd w:id="13"/>
    <w:bookmarkEnd w:id="14"/>
    <w:bookmarkStart w:id="15"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15"/>
    <w:bookmarkEnd w:id="16"/>
    <w:bookmarkStart w:id="20"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17"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r>
          <m:rPr>
            <m:sty m:val="p"/>
          </m:rPr>
          <m:t>[</m:t>
        </m:r>
        <m:r>
          <m:t>L</m:t>
        </m:r>
        <m:r>
          <m:rPr>
            <m:sty m:val="p"/>
          </m:rPr>
          <m:t>]</m:t>
        </m:r>
        <m:r>
          <m:rPr>
            <m:sty m:val="p"/>
          </m:rPr>
          <m:t>&gt;</m:t>
        </m:r>
        <m:r>
          <m:t>0</m:t>
        </m:r>
      </m:oMath>
      <w:r>
        <w:t xml:space="preserve">:</w:t>
      </w:r>
    </w:p>
    <w:p>
      <w:pPr>
        <w:pStyle w:val="BodyText"/>
      </w:pPr>
      <m:oMathPara>
        <m:oMathParaPr>
          <m:jc m:val="center"/>
        </m:oMathParaPr>
        <m:oMath>
          <m:r>
            <m:t>P</m:t>
          </m:r>
          <m:r>
            <m:t>r</m:t>
          </m:r>
          <m:r>
            <m:rPr>
              <m:sty m:val="p"/>
            </m:rPr>
            <m:t>[</m:t>
          </m:r>
          <m:r>
            <m:t>A</m:t>
          </m:r>
          <m:r>
            <m:rPr>
              <m:sty m:val="p"/>
            </m:rPr>
            <m:t>=</m:t>
          </m:r>
          <m:r>
            <m:t>a</m:t>
          </m:r>
          <m:r>
            <m:rPr>
              <m:sty m:val="p"/>
            </m:rPr>
            <m:t>|</m:t>
          </m:r>
          <m:r>
            <m:t>L</m:t>
          </m:r>
          <m:r>
            <m:rPr>
              <m:sty m:val="p"/>
            </m:rPr>
            <m:t>]</m:t>
          </m:r>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17"/>
    <w:bookmarkStart w:id="19"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18"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r>
            <m:rPr>
              <m:sty m:val="p"/>
            </m:rPr>
            <m:t>[</m:t>
          </m:r>
          <m:r>
            <m:t>A</m:t>
          </m:r>
          <m:r>
            <m:rPr>
              <m:sty m:val="p"/>
            </m:rPr>
            <m:t>=</m:t>
          </m:r>
          <m:r>
            <m:t>1</m:t>
          </m:r>
          <m:r>
            <m:rPr>
              <m:sty m:val="p"/>
            </m:rPr>
            <m:t>|</m:t>
          </m:r>
          <m:r>
            <m:rPr>
              <m:nor/>
              <m:sty m:val="p"/>
            </m:rPr>
            <m:t>Age</m:t>
          </m:r>
          <m:r>
            <m:rPr>
              <m:sty m:val="p"/>
            </m:rPr>
            <m:t>=</m:t>
          </m:r>
          <m:r>
            <m:t>90</m:t>
          </m:r>
          <m:r>
            <m:rPr>
              <m:sty m:val="p"/>
            </m:rPr>
            <m:t>]</m:t>
          </m:r>
          <m:r>
            <m:rPr>
              <m:sty m:val="p"/>
            </m:rPr>
            <m:t>=</m:t>
          </m:r>
          <m:r>
            <m:t>0</m:t>
          </m:r>
        </m:oMath>
      </m:oMathPara>
    </w:p>
    <w:p>
      <w:pPr>
        <w:pStyle w:val="FirstParagraph"/>
      </w:pPr>
      <w:r>
        <w:t xml:space="preserve">We cannot estimate</w:t>
      </w:r>
      <w:r>
        <w:t xml:space="preserve"> </w:t>
      </w:r>
      <m:oMath>
        <m:r>
          <m:t>E</m:t>
        </m:r>
        <m:r>
          <m:rPr>
            <m:sty m:val="p"/>
          </m:rPr>
          <m:t>[</m:t>
        </m:r>
        <m:sSup>
          <m:e>
            <m:r>
              <m:t>Y</m:t>
            </m:r>
          </m:e>
          <m:sup>
            <m:r>
              <m:t>a</m:t>
            </m:r>
            <m:r>
              <m:rPr>
                <m:sty m:val="p"/>
              </m:rPr>
              <m:t>=</m:t>
            </m:r>
            <m:r>
              <m:t>1</m:t>
            </m:r>
          </m:sup>
        </m:sSup>
        <m:r>
          <m:rPr>
            <m:sty m:val="p"/>
          </m:rPr>
          <m:t>|</m:t>
        </m:r>
        <m:r>
          <m:rPr>
            <m:nor/>
            <m:sty m:val="p"/>
          </m:rPr>
          <m:t>Age</m:t>
        </m:r>
        <m:r>
          <m:rPr>
            <m:sty m:val="p"/>
          </m:rPr>
          <m:t>=</m:t>
        </m:r>
        <m:r>
          <m:t>90</m:t>
        </m:r>
        <m:r>
          <m:rPr>
            <m:sty m:val="p"/>
          </m:rPr>
          <m:t>]</m:t>
        </m:r>
      </m:oMath>
      <w:r>
        <w:t xml:space="preserve"> </w:t>
      </w:r>
      <w:r>
        <w:t xml:space="preserve">from the data because we have no treated 90-year-olds to observe.</w:t>
      </w:r>
    </w:p>
    <w:bookmarkEnd w:id="18"/>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r>
          <m:rPr>
            <m:sty m:val="p"/>
          </m:rPr>
          <m:t>[</m:t>
        </m:r>
        <m:r>
          <m:t>A</m:t>
        </m:r>
        <m:r>
          <m:rPr>
            <m:sty m:val="p"/>
          </m:rPr>
          <m:t>=</m:t>
        </m:r>
        <m:r>
          <m:t>a</m:t>
        </m:r>
        <m:r>
          <m:rPr>
            <m:sty m:val="p"/>
          </m:rPr>
          <m:t>|</m:t>
        </m:r>
        <m:r>
          <m:t>L</m:t>
        </m:r>
        <m:r>
          <m:rPr>
            <m:sty m:val="p"/>
          </m:rPr>
          <m:t>]</m:t>
        </m:r>
      </m:oMath>
      <w:r>
        <w:t xml:space="preserve"> </w:t>
      </w:r>
      <w:r>
        <w:t xml:space="preserve">is very close to 0 or 1) can also cause problems, leading to unstable estimates with large variance.</w:t>
      </w:r>
    </w:p>
    <w:bookmarkEnd w:id="19"/>
    <w:bookmarkEnd w:id="20"/>
    <w:bookmarkStart w:id="24"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21"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21"/>
    <w:bookmarkStart w:id="23"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22"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22"/>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23"/>
    <w:bookmarkEnd w:id="24"/>
    <w:bookmarkStart w:id="28"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26"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25"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25"/>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26"/>
    <w:bookmarkStart w:id="27"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27"/>
    <w:bookmarkEnd w:id="28"/>
    <w:bookmarkStart w:id="33"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29"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29"/>
    <w:bookmarkStart w:id="30"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30"/>
    <w:bookmarkStart w:id="32" w:name="X6fe384597d9f8447dce47bfd3876580064caa9f"/>
    <w:p>
      <w:pPr>
        <w:pStyle w:val="Heading3"/>
      </w:pPr>
      <w:r>
        <w:t xml:space="preserve">6.2 Example: Target Trial for Statins and Cardiovascular Disease</w:t>
      </w:r>
    </w:p>
    <w:bookmarkStart w:id="31"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31"/>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32"/>
    <w:bookmarkEnd w:id="33"/>
    <w:bookmarkStart w:id="34"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r>
          <m:rPr>
            <m:sty m:val="p"/>
          </m:rPr>
          <m:t>[</m:t>
        </m:r>
        <m:r>
          <m:t>A</m:t>
        </m:r>
        <m:r>
          <m:rPr>
            <m:sty m:val="p"/>
          </m:rPr>
          <m:t>=</m:t>
        </m:r>
        <m:r>
          <m:t>a</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34"/>
    <w:bookmarkStart w:id="38" w:name="references"/>
    <w:p>
      <w:pPr>
        <w:pStyle w:val="Heading2"/>
      </w:pPr>
      <w:r>
        <w:t xml:space="preserve">8 References</w:t>
      </w:r>
    </w:p>
    <w:p>
      <w:r>
        <w:pict>
          <v:rect style="width:0;height:1.5pt" o:hralign="center" o:hrstd="t" o:hr="t"/>
        </w:pict>
      </w:r>
    </w:p>
    <w:bookmarkStart w:id="37" w:name="refs"/>
    <w:bookmarkStart w:id="36"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5">
        <w:r>
          <w:rPr>
            <w:rStyle w:val="Hyperlink"/>
          </w:rPr>
          <w:t xml:space="preserve">https://miguelhernan.org/whatifbook</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5"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5"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2026-04-28T23:55:36Z</dcterms:created>
  <dcterms:modified xsi:type="dcterms:W3CDTF">2026-04-28T23:55:36Z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