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m:oMathPara>
          </w:p>
          <w:bookmarkEnd w:id="9"/>
        </w:tc>
      </w:tr>
    </w:tbl>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e>
        </m:d>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e>
        </m:d>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rPr>
            <m:nor/>
            <m:sty m:val="p"/>
          </m:rPr>
          <m:t>E</m:t>
        </m:r>
        <m:d>
          <m:dPr>
            <m:begChr m:val="["/>
            <m:sepChr m:val=""/>
            <m:endChr m:val="]"/>
            <m:grow/>
          </m:dPr>
          <m:e>
            <m:sSup>
              <m:e>
                <m:r>
                  <m:t>Y</m:t>
                </m:r>
              </m:e>
              <m:sup>
                <m:r>
                  <m:t>a</m:t>
                </m:r>
                <m:r>
                  <m:rPr>
                    <m:sty m:val="p"/>
                  </m:rPr>
                  <m:t>=</m:t>
                </m:r>
                <m:r>
                  <m:t>1</m:t>
                </m:r>
              </m:sup>
            </m:sSup>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e>
        </m:d>
      </m:oMath>
    </w:p>
    <w:p>
      <w:pPr>
        <w:pStyle w:val="Compact"/>
        <w:numPr>
          <w:ilvl w:val="0"/>
          <w:numId w:val="1004"/>
        </w:numPr>
      </w:pPr>
      <w:r>
        <w:rPr>
          <w:b/>
          <w:bCs/>
        </w:rPr>
        <w:t xml:space="preserve">Risk ratio scale</w:t>
      </w:r>
      <w:r>
        <w:t xml:space="preserve">:</w:t>
      </w:r>
      <w:r>
        <w:t xml:space="preserve"> </w:t>
      </w:r>
      <m:oMath>
        <m:r>
          <m:rPr>
            <m:nor/>
            <m:sty m:val="p"/>
          </m:rPr>
          <m:t>E</m:t>
        </m:r>
        <m:d>
          <m:dPr>
            <m:begChr m:val="["/>
            <m:sepChr m:val=""/>
            <m:endChr m:val="]"/>
            <m:grow/>
          </m:dPr>
          <m:e>
            <m:sSup>
              <m:e>
                <m:r>
                  <m:t>Y</m:t>
                </m:r>
              </m:e>
              <m:sup>
                <m:r>
                  <m:t>a</m:t>
                </m:r>
                <m:r>
                  <m:rPr>
                    <m:sty m:val="p"/>
                  </m:rPr>
                  <m:t>=</m:t>
                </m:r>
                <m:r>
                  <m:t>1</m:t>
                </m:r>
              </m:sup>
            </m:sSup>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e>
        </m:d>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scale-dependent"/>
          <w:p>
            <w:pPr>
              <w:pStyle w:val="BodyText"/>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t>0.2</m:t>
              </m:r>
            </m:oMath>
            <w:r>
              <w:t xml:space="preserve">,</w:t>
            </w:r>
            <w:r>
              <w:t xml:space="preserve"> </w:t>
            </w:r>
            <m:oMath>
              <m:r>
                <m:rPr>
                  <m:nor/>
                  <m:sty m:val="p"/>
                </m:rPr>
                <m:t>E</m:t>
              </m:r>
              <m:d>
                <m:dPr>
                  <m:begChr m:val="["/>
                  <m:sepChr m:val=""/>
                  <m:endChr m:val="]"/>
                  <m:grow/>
                </m:dPr>
                <m:e>
                  <m:sSup>
                    <m:e>
                      <m:r>
                        <m:t>Y</m:t>
                      </m:r>
                    </m:e>
                    <m:sup>
                      <m:r>
                        <m:t>a</m:t>
                      </m:r>
                      <m:r>
                        <m:rPr>
                          <m:sty m:val="p"/>
                        </m:rPr>
                        <m:t>=</m:t>
                      </m:r>
                      <m:r>
                        <m:t>0</m:t>
                      </m:r>
                    </m:sup>
                  </m:sSup>
                </m:e>
              </m:d>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t>0.4</m:t>
              </m:r>
            </m:oMath>
            <w:r>
              <w:t xml:space="preserve">,</w:t>
            </w:r>
            <w:r>
              <w:t xml:space="preserve"> </w:t>
            </w:r>
            <m:oMath>
              <m:r>
                <m:rPr>
                  <m:nor/>
                  <m:sty m:val="p"/>
                </m:rPr>
                <m:t>E</m:t>
              </m:r>
              <m:d>
                <m:dPr>
                  <m:begChr m:val="["/>
                  <m:sepChr m:val=""/>
                  <m:endChr m:val="]"/>
                  <m:grow/>
                </m:dPr>
                <m:e>
                  <m:sSup>
                    <m:e>
                      <m:r>
                        <m:t>Y</m:t>
                      </m:r>
                    </m:e>
                    <m:sup>
                      <m:r>
                        <m:t>a</m:t>
                      </m:r>
                      <m:r>
                        <m:rPr>
                          <m:sty m:val="p"/>
                        </m:rPr>
                        <m:t>=</m:t>
                      </m:r>
                      <m:r>
                        <m:t>0</m:t>
                      </m:r>
                    </m:sup>
                  </m:sSup>
                </m:e>
              </m:d>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tc>
      </w:tr>
    </w:tbl>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tc>
      </w:tr>
    </w:tbl>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precision-medicine"/>
          <w:p>
            <w:pPr>
              <w:pStyle w:val="BodyText"/>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tc>
      </w:tr>
    </w:tbl>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tc>
      </w:tr>
    </w:tbl>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exm-matching"/>
          <w:p>
            <w:pPr>
              <w:pStyle w:val="BodyText"/>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tc>
      </w:tr>
    </w:tbl>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exm-stratification-with-confounding"/>
          <w:p>
            <w:pPr>
              <w:pStyle w:val="BodyText"/>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tc>
      </w:tr>
    </w:tbl>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V</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e>
        </m:d>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2026-05-04T07:10:06Z</dcterms:created>
  <dcterms:modified xsi:type="dcterms:W3CDTF">2026-05-04T07:10:06Z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