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3"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t>P</m:t>
          </m:r>
          <m:r>
            <m:t>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t>P</m:t>
          </m:r>
          <m:r>
            <m:t>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2"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2"/>
    <w:bookmarkEnd w:id="13"/>
    <w:bookmarkStart w:id="18"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4"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4"/>
    <w:bookmarkStart w:id="16"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bookmarkStart w:id="15"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5"/>
    <w:p>
      <w:pPr>
        <w:pStyle w:val="BodyText"/>
      </w:pPr>
      <w:r>
        <w:t xml:space="preserve">Conditional exchangeability means: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6"/>
    <w:bookmarkStart w:id="17"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7"/>
    <w:bookmarkEnd w:id="18"/>
    <w:bookmarkStart w:id="23"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0"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bookmarkStart w:id="19"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19"/>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0"/>
    <w:bookmarkStart w:id="21"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t>P</m:t>
        </m:r>
        <m:r>
          <m:t>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t>P</m:t>
        </m:r>
        <m:r>
          <m:t>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1"/>
    <w:bookmarkStart w:id="22" w:name="interpretation"/>
    <w:p>
      <w:pPr>
        <w:pStyle w:val="Heading3"/>
      </w:pPr>
      <w:r>
        <w:t xml:space="preserve">3.3 Interpretation</w:t>
      </w:r>
    </w:p>
    <w:p>
      <w:pPr>
        <w:pStyle w:val="FirstParagraph"/>
      </w:pPr>
      <w:r>
        <w:t xml:space="preserve">The standardized mean</w:t>
      </w:r>
      <w:r>
        <w:t xml:space="preserve"> </w:t>
      </w:r>
      <m:oMath>
        <m:r>
          <m:t>E</m:t>
        </m:r>
        <m:r>
          <m:rPr>
            <m:sty m:val="p"/>
          </m:rPr>
          <m:t>[</m:t>
        </m:r>
        <m:sSup>
          <m:e>
            <m:r>
              <m:t>Y</m:t>
            </m:r>
          </m:e>
          <m:sup>
            <m:r>
              <m:t>a</m:t>
            </m:r>
            <m:r>
              <m:rPr>
                <m:sty m:val="p"/>
              </m:rPr>
              <m:t>=</m:t>
            </m:r>
            <m:r>
              <m:t>1</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t>E</m:t>
        </m:r>
        <m:r>
          <m:rPr>
            <m:sty m:val="p"/>
          </m:rPr>
          <m:t>[</m:t>
        </m:r>
        <m:sSup>
          <m:e>
            <m:r>
              <m:t>Y</m:t>
            </m:r>
          </m:e>
          <m:sup>
            <m:r>
              <m:t>a</m:t>
            </m:r>
            <m:r>
              <m:rPr>
                <m:sty m:val="p"/>
              </m:rPr>
              <m:t>=</m:t>
            </m:r>
            <m:r>
              <m:t>0</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is the</w:t>
      </w:r>
      <w:r>
        <w:t xml:space="preserve"> </w:t>
      </w:r>
      <w:r>
        <w:rPr>
          <w:b/>
          <w:bCs/>
        </w:rPr>
        <w:t xml:space="preserve">average causal effect</w:t>
      </w:r>
      <w:r>
        <w:t xml:space="preserve"> </w:t>
      </w:r>
      <w:r>
        <w:t xml:space="preserve">in the population.</w:t>
      </w:r>
    </w:p>
    <w:bookmarkEnd w:id="22"/>
    <w:bookmarkEnd w:id="23"/>
    <w:bookmarkStart w:id="31"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5"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bookmarkStart w:id="24" w:name="def-ipw"/>
    <w:p>
      <w:pPr>
        <w:pStyle w:val="FirstParagraph"/>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p>
      <w:pPr>
        <w:pStyle w:val="FirstParagraph"/>
      </w:pPr>
      <w:r>
        <w:t xml:space="preserve">where</w:t>
      </w:r>
      <w:r>
        <w:t xml:space="preserve"> </w:t>
      </w:r>
      <m:oMath>
        <m:r>
          <m:t>P</m:t>
        </m:r>
        <m:r>
          <m:t>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4"/>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5"/>
    <w:bookmarkStart w:id="26"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t>E</m:t>
          </m:r>
          <m:r>
            <m:rPr>
              <m:sty m:val="p"/>
            </m:rPr>
            <m:t>[</m:t>
          </m:r>
          <m:sSup>
            <m:e>
              <m:r>
                <m:t>Y</m:t>
              </m:r>
            </m:e>
            <m:sup>
              <m:r>
                <m:t>a</m:t>
              </m:r>
            </m:sup>
          </m:sSup>
          <m:r>
            <m:rPr>
              <m:sty m:val="p"/>
            </m:rPr>
            <m:t>]</m:t>
          </m:r>
          <m:r>
            <m:rPr>
              <m:sty m:val="p"/>
            </m:rPr>
            <m:t>=</m:t>
          </m:r>
          <m: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t>P</m:t>
                  </m:r>
                  <m:r>
                    <m:t>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t>P</m:t>
                  </m:r>
                  <m:r>
                    <m:t>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t>P</m:t>
                  </m:r>
                  <m:r>
                    <m:t>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6"/>
    <w:bookmarkStart w:id="27"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7"/>
    <w:bookmarkStart w:id="28"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p>
        </w:tc>
        <w:tc>
          <w:tcPr/>
          <w:p>
            <w:pPr>
              <w:pStyle w:val="Compact"/>
            </w:pPr>
            <m:oMath>
              <m:r>
                <m:t>E</m:t>
              </m:r>
              <m:r>
                <m:rPr>
                  <m:sty m:val="p"/>
                </m:rPr>
                <m:t>[</m:t>
              </m:r>
              <m:sSup>
                <m:e>
                  <m:r>
                    <m:t>Y</m:t>
                  </m:r>
                </m:e>
                <m:sup>
                  <m:r>
                    <m:t>a</m:t>
                  </m:r>
                </m:sup>
              </m:sSup>
              <m:r>
                <m:rPr>
                  <m:sty m:val="p"/>
                </m:rPr>
                <m:t>]</m:t>
              </m:r>
              <m:r>
                <m:rPr>
                  <m:sty m:val="p"/>
                </m:rPr>
                <m:t>=</m:t>
              </m:r>
              <m:r>
                <m:t>E</m:t>
              </m:r>
              <m:r>
                <m:rPr>
                  <m:sty m:val="p"/>
                </m:rPr>
                <m:t>[</m:t>
              </m:r>
              <m:r>
                <m:t>Y</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oMath>
          </w:p>
        </w:tc>
      </w:tr>
      <w:tr>
        <w:tc>
          <w:tcPr/>
          <w:p>
            <w:pPr>
              <w:pStyle w:val="Compact"/>
            </w:pPr>
            <w:r>
              <w:rPr>
                <w:b/>
                <w:bCs/>
              </w:rPr>
              <w:t xml:space="preserve">Weights</w:t>
            </w:r>
          </w:p>
        </w:tc>
        <w:tc>
          <w:tcPr/>
          <w:p>
            <w:pPr>
              <w:pStyle w:val="Compact"/>
            </w:pPr>
            <w:r>
              <w:t xml:space="preserve">Stratum probabilities</w:t>
            </w:r>
            <w:r>
              <w:t xml:space="preserve"> </w:t>
            </w:r>
            <m:oMath>
              <m:r>
                <m:t>P</m:t>
              </m:r>
              <m:r>
                <m:t>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t>P</m:t>
              </m:r>
              <m:r>
                <m:t>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t>E</m:t>
              </m:r>
              <m:r>
                <m:rPr>
                  <m:sty m:val="p"/>
                </m:rPr>
                <m:t>[</m:t>
              </m:r>
              <m:r>
                <m:t>Y</m:t>
              </m:r>
              <m:r>
                <m:rPr>
                  <m:sty m:val="p"/>
                </m:rPr>
                <m:t>|</m:t>
              </m:r>
              <m:r>
                <m:t>A</m:t>
              </m:r>
              <m:r>
                <m:rPr>
                  <m:sty m:val="p"/>
                </m:rPr>
                <m:t>,</m:t>
              </m:r>
              <m:r>
                <m:t>L</m:t>
              </m:r>
              <m:r>
                <m:rPr>
                  <m:sty m:val="p"/>
                </m:rPr>
                <m:t>]</m:t>
              </m:r>
            </m:oMath>
          </w:p>
        </w:tc>
        <w:tc>
          <w:tcPr/>
          <w:p>
            <w:pPr>
              <w:pStyle w:val="Compact"/>
            </w:pPr>
            <w:r>
              <w:t xml:space="preserve">Treatment model</w:t>
            </w:r>
            <w:r>
              <w:t xml:space="preserve"> </w:t>
            </w:r>
            <m:oMath>
              <m:r>
                <m:t>P</m:t>
              </m:r>
              <m:r>
                <m:t>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t>P</m:t>
        </m:r>
        <m:r>
          <m:t>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t>E</m:t>
        </m:r>
        <m:r>
          <m:rPr>
            <m:sty m:val="p"/>
          </m:rPr>
          <m:t>[</m:t>
        </m:r>
        <m:r>
          <m:t>Y</m:t>
        </m:r>
        <m:r>
          <m:rPr>
            <m:sty m:val="p"/>
          </m:rPr>
          <m:t>|</m:t>
        </m:r>
        <m:r>
          <m:t>A</m:t>
        </m:r>
        <m:r>
          <m:rPr>
            <m:sty m:val="p"/>
          </m:rPr>
          <m:t>,</m:t>
        </m:r>
        <m:r>
          <m:t>L</m:t>
        </m:r>
        <m:r>
          <m:rPr>
            <m:sty m:val="p"/>
          </m:rPr>
          <m:t>]</m:t>
        </m:r>
      </m:oMath>
      <w:r>
        <w:t xml:space="preserve">. IPW requires correctly specifying the treatment model</w:t>
      </w:r>
      <w:r>
        <w:t xml:space="preserve"> </w:t>
      </w:r>
      <m:oMath>
        <m:r>
          <m:t>P</m:t>
        </m:r>
        <m:r>
          <m:t>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28"/>
    <w:bookmarkStart w:id="30"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t>P</m:t>
        </m:r>
        <m:r>
          <m:t>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bookmarkStart w:id="29"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29"/>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t>E</m:t>
        </m:r>
        <m:r>
          <m:rPr>
            <m:sty m:val="p"/>
          </m:rPr>
          <m:t>[</m:t>
        </m:r>
        <m:r>
          <m:t>Y</m:t>
        </m:r>
        <m:r>
          <m:rPr>
            <m:sty m:val="p"/>
          </m:rPr>
          <m:t>|</m:t>
        </m:r>
        <m:r>
          <m:t>A</m:t>
        </m:r>
        <m:r>
          <m:rPr>
            <m:sty m:val="p"/>
          </m:rPr>
          <m:t>=</m:t>
        </m:r>
        <m:r>
          <m:t>a</m:t>
        </m:r>
        <m:r>
          <m:rPr>
            <m:sty m:val="p"/>
          </m:rPr>
          <m:t>,</m:t>
        </m:r>
        <m:r>
          <m:t>L</m:t>
        </m:r>
        <m:r>
          <m:rPr>
            <m:sty m:val="p"/>
          </m:rPr>
          <m:t>=</m:t>
        </m:r>
        <m:r>
          <m:t>l</m:t>
        </m:r>
        <m:r>
          <m:rPr>
            <m:sty m:val="p"/>
          </m:rPr>
          <m:t>]</m:t>
        </m:r>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0"/>
    <w:bookmarkEnd w:id="31"/>
    <w:bookmarkStart w:id="32"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t>P</m:t>
        </m:r>
        <m:r>
          <m:t>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2"/>
    <w:bookmarkStart w:id="35" w:name="fine-point"/>
    <w:p>
      <w:pPr>
        <w:pStyle w:val="Heading2"/>
      </w:pPr>
      <w:r>
        <w:t xml:space="preserve">6 Fine Point</w:t>
      </w:r>
    </w:p>
    <w:p>
      <w:r>
        <w:pict>
          <v:rect style="width:0;height:1.5pt" o:hralign="center" o:hrstd="t" o:hr="t"/>
        </w:pict>
      </w:r>
    </w:p>
    <w:bookmarkStart w:id="33"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t>E</m:t>
        </m:r>
        <m:r>
          <m:rPr>
            <m:sty m:val="p"/>
          </m:rPr>
          <m:t>[</m:t>
        </m:r>
        <m:sSup>
          <m:e>
            <m:r>
              <m:t>Y</m:t>
            </m:r>
          </m:e>
          <m:sup>
            <m:r>
              <m:t>z</m:t>
            </m:r>
            <m:r>
              <m:rPr>
                <m:sty m:val="p"/>
              </m:rPr>
              <m:t>=</m:t>
            </m:r>
            <m:r>
              <m:t>1</m:t>
            </m:r>
          </m:sup>
        </m:sSup>
        <m:r>
          <m:rPr>
            <m:sty m:val="p"/>
          </m:rPr>
          <m:t>]</m:t>
        </m:r>
        <m:r>
          <m:rPr>
            <m:sty m:val="p"/>
          </m:rPr>
          <m:t>−</m:t>
        </m:r>
        <m:r>
          <m:t>E</m:t>
        </m:r>
        <m:r>
          <m:rPr>
            <m:sty m:val="p"/>
          </m:rPr>
          <m:t>[</m:t>
        </m:r>
        <m:sSup>
          <m:e>
            <m:r>
              <m:t>Y</m:t>
            </m:r>
          </m:e>
          <m:sup>
            <m:r>
              <m:t>z</m:t>
            </m:r>
            <m:r>
              <m:rPr>
                <m:sty m:val="p"/>
              </m:rPr>
              <m:t>=</m:t>
            </m:r>
            <m:r>
              <m:t>0</m:t>
            </m:r>
          </m:sup>
        </m:sSup>
        <m:r>
          <m:rPr>
            <m:sty m:val="p"/>
          </m:rPr>
          <m:t>]</m:t>
        </m:r>
      </m:oMath>
      <w:r>
        <w:t xml:space="preserve">, while the</w:t>
      </w:r>
      <w:r>
        <w:t xml:space="preserve"> </w:t>
      </w:r>
      <w:r>
        <w:rPr>
          <w:b/>
          <w:bCs/>
        </w:rPr>
        <w:t xml:space="preserve">per-protocol effect</w:t>
      </w:r>
      <w:r>
        <w:t xml:space="preserve"> </w:t>
      </w:r>
      <w:r>
        <w:t xml:space="preserve">is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3"/>
    <w:bookmarkStart w:id="34"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34"/>
    <w:bookmarkEnd w:id="35"/>
    <w:bookmarkStart w:id="38" w:name="technical-point"/>
    <w:p>
      <w:pPr>
        <w:pStyle w:val="Heading2"/>
      </w:pPr>
      <w:r>
        <w:t xml:space="preserve">7 Technical Point</w:t>
      </w:r>
    </w:p>
    <w:p>
      <w:r>
        <w:pict>
          <v:rect style="width:0;height:1.5pt" o:hralign="center" o:hrstd="t" o:hr="t"/>
        </w:pict>
      </w:r>
    </w:p>
    <w:bookmarkStart w:id="36"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r>
            <m:t>Y</m:t>
          </m:r>
          <m:r>
            <m:rPr>
              <m:sty m:val="p"/>
            </m:rPr>
            <m:t>|</m:t>
          </m:r>
          <m:r>
            <m:t>A</m:t>
          </m:r>
          <m:r>
            <m:rPr>
              <m:sty m:val="p"/>
            </m:rPr>
            <m:t>=</m:t>
          </m:r>
          <m:r>
            <m:t>a</m:t>
          </m:r>
          <m:r>
            <m:rPr>
              <m:sty m:val="p"/>
            </m:rPr>
            <m:t>]</m:t>
          </m:r>
        </m:oMath>
      </m:oMathPara>
    </w:p>
    <w:p>
      <w:pPr>
        <w:pStyle w:val="FirstParagraph"/>
      </w:pPr>
      <w:r>
        <w:t xml:space="preserve">This is because: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sSup>
            <m:e>
              <m:r>
                <m:t>Y</m:t>
              </m:r>
            </m:e>
            <m:sup>
              <m:r>
                <m:t>a</m:t>
              </m:r>
            </m:sup>
          </m:sSup>
          <m:r>
            <m:rPr>
              <m:sty m:val="p"/>
            </m:rPr>
            <m:t>|</m:t>
          </m:r>
          <m:r>
            <m:t>A</m:t>
          </m:r>
          <m:r>
            <m:rPr>
              <m:sty m:val="p"/>
            </m:rPr>
            <m:t>=</m:t>
          </m:r>
          <m:r>
            <m:t>a</m:t>
          </m:r>
          <m:r>
            <m:rPr>
              <m:sty m:val="p"/>
            </m:rPr>
            <m:t>]</m:t>
          </m:r>
          <m:r>
            <m:t> </m:t>
          </m:r>
          <m:r>
            <m:rPr>
              <m:nor/>
              <m:sty m:val="p"/>
            </m:rPr>
            <m:t>(by exchangeability)</m:t>
          </m:r>
          <m:r>
            <m:rPr>
              <m:sty m:val="p"/>
            </m:rPr>
            <m:t>=</m:t>
          </m:r>
          <m:r>
            <m:t>E</m:t>
          </m:r>
          <m:r>
            <m:rPr>
              <m:sty m:val="p"/>
            </m:rPr>
            <m:t>[</m:t>
          </m:r>
          <m:r>
            <m:t>Y</m:t>
          </m:r>
          <m:r>
            <m:rPr>
              <m:sty m:val="p"/>
            </m:rPr>
            <m:t>|</m:t>
          </m:r>
          <m:r>
            <m:t>A</m:t>
          </m:r>
          <m:r>
            <m:rPr>
              <m:sty m:val="p"/>
            </m:rPr>
            <m:t>=</m:t>
          </m:r>
          <m:r>
            <m:t>a</m:t>
          </m:r>
          <m:r>
            <m:rPr>
              <m:sty m:val="p"/>
            </m:rPr>
            <m:t>]</m:t>
          </m:r>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t>L</m:t>
          </m:r>
          <m:r>
            <m:rPr>
              <m:sty m:val="p"/>
            </m:rPr>
            <m:t>=</m:t>
          </m:r>
          <m:r>
            <m:t>l</m:t>
          </m:r>
          <m:r>
            <m:rPr>
              <m:sty m:val="p"/>
            </m:rPr>
            <m:t>]</m:t>
          </m:r>
          <m:r>
            <m:rPr>
              <m:sty m:val="p"/>
            </m:rPr>
            <m:t>=</m:t>
          </m:r>
          <m:r>
            <m:t>E</m:t>
          </m:r>
          <m:r>
            <m:rPr>
              <m:sty m:val="p"/>
            </m:rPr>
            <m:t>[</m:t>
          </m:r>
          <m:r>
            <m:t>Y</m:t>
          </m:r>
          <m:r>
            <m:rPr>
              <m:sty m:val="p"/>
            </m:rPr>
            <m:t>|</m:t>
          </m:r>
          <m:r>
            <m:t>A</m:t>
          </m:r>
          <m:r>
            <m:rPr>
              <m:sty m:val="p"/>
            </m:rPr>
            <m:t>=</m:t>
          </m:r>
          <m:r>
            <m:t>a</m:t>
          </m:r>
          <m:r>
            <m:rPr>
              <m:sty m:val="p"/>
            </m:rPr>
            <m:t>,</m:t>
          </m:r>
          <m:r>
            <m:t>L</m:t>
          </m:r>
          <m:r>
            <m:rPr>
              <m:sty m:val="p"/>
            </m:rPr>
            <m:t>=</m:t>
          </m:r>
          <m:r>
            <m:t>l</m:t>
          </m:r>
          <m:r>
            <m:rPr>
              <m:sty m:val="p"/>
            </m:rPr>
            <m:t>]</m:t>
          </m:r>
        </m:oMath>
      </m:oMathPara>
    </w:p>
    <w:p>
      <w:pPr>
        <w:pStyle w:val="FirstParagraph"/>
      </w:pPr>
      <w:r>
        <w:t xml:space="preserve">The standardization formula follows by taking expectations over</w:t>
      </w:r>
      <w:r>
        <w:t xml:space="preserve"> </w:t>
      </w:r>
      <m:oMath>
        <m:r>
          <m:t>L</m:t>
        </m:r>
      </m:oMath>
      <w:r>
        <w:t xml:space="preserve">.</w:t>
      </w:r>
    </w:p>
    <w:bookmarkEnd w:id="36"/>
    <w:bookmarkStart w:id="37"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t>E</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r>
          <m:rPr>
            <m:sty m:val="p"/>
          </m:rPr>
          <m:t>=</m:t>
        </m:r>
        <m:r>
          <m:t>1</m:t>
        </m:r>
      </m:oMath>
      <w:r>
        <w:t xml:space="preserve">.</w:t>
      </w:r>
    </w:p>
    <w:bookmarkEnd w:id="37"/>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2026-04-28T22:57:59Z</dcterms:created>
  <dcterms:modified xsi:type="dcterms:W3CDTF">2026-04-28T22:57:59Z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