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25"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20"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d>
          <m:dPr>
            <m:begChr m:val="("/>
            <m:sepChr m:val=""/>
            <m:endChr m:val=")"/>
            <m:grow/>
          </m:dPr>
          <m:e>
            <m:r>
              <m:t>A</m:t>
            </m:r>
            <m:r>
              <m:rPr>
                <m:sty m:val="p"/>
              </m:rPr>
              <m:t>=</m:t>
            </m:r>
            <m:r>
              <m:t>0</m:t>
            </m:r>
            <m:r>
              <m:rPr>
                <m:sty m:val="p"/>
              </m:rPr>
              <m:t>,</m:t>
            </m:r>
            <m:r>
              <m:t>E</m:t>
            </m:r>
            <m:r>
              <m:rPr>
                <m:sty m:val="p"/>
              </m:rPr>
              <m:t>=</m:t>
            </m:r>
            <m:r>
              <m:t>0</m:t>
            </m:r>
          </m:e>
        </m:d>
      </m:oMath>
      <w:r>
        <w:t xml:space="preserve">: Neither treatment</w:t>
      </w:r>
      <w:r>
        <w:t xml:space="preserve"> </w:t>
      </w:r>
      <w:r>
        <w:t xml:space="preserve">2.</w:t>
      </w:r>
      <w:r>
        <w:t xml:space="preserve"> </w:t>
      </w:r>
      <m:oMath>
        <m:d>
          <m:dPr>
            <m:begChr m:val="("/>
            <m:sepChr m:val=""/>
            <m:endChr m:val=")"/>
            <m:grow/>
          </m:dPr>
          <m:e>
            <m:r>
              <m:t>A</m:t>
            </m:r>
            <m:r>
              <m:rPr>
                <m:sty m:val="p"/>
              </m:rPr>
              <m:t>=</m:t>
            </m:r>
            <m:r>
              <m:t>1</m:t>
            </m:r>
            <m:r>
              <m:rPr>
                <m:sty m:val="p"/>
              </m:rPr>
              <m:t>,</m:t>
            </m:r>
            <m:r>
              <m:t>E</m:t>
            </m:r>
            <m:r>
              <m:rPr>
                <m:sty m:val="p"/>
              </m:rPr>
              <m:t>=</m:t>
            </m:r>
            <m:r>
              <m:t>0</m:t>
            </m:r>
          </m:e>
        </m:d>
      </m:oMath>
      <w:r>
        <w:t xml:space="preserve">: Aspirin only</w:t>
      </w:r>
      <w:r>
        <w:t xml:space="preserve"> </w:t>
      </w:r>
      <w:r>
        <w:t xml:space="preserve">3.</w:t>
      </w:r>
      <w:r>
        <w:t xml:space="preserve"> </w:t>
      </w:r>
      <m:oMath>
        <m:d>
          <m:dPr>
            <m:begChr m:val="("/>
            <m:sepChr m:val=""/>
            <m:endChr m:val=")"/>
            <m:grow/>
          </m:dPr>
          <m:e>
            <m:r>
              <m:t>A</m:t>
            </m:r>
            <m:r>
              <m:rPr>
                <m:sty m:val="p"/>
              </m:rPr>
              <m:t>=</m:t>
            </m:r>
            <m:r>
              <m:t>0</m:t>
            </m:r>
            <m:r>
              <m:rPr>
                <m:sty m:val="p"/>
              </m:rPr>
              <m:t>,</m:t>
            </m:r>
            <m:r>
              <m:t>E</m:t>
            </m:r>
            <m:r>
              <m:rPr>
                <m:sty m:val="p"/>
              </m:rPr>
              <m:t>=</m:t>
            </m:r>
            <m:r>
              <m:t>1</m:t>
            </m:r>
          </m:e>
        </m:d>
      </m:oMath>
      <w:r>
        <w:t xml:space="preserve">: Blood pressure medication only</w:t>
      </w:r>
      <w:r>
        <w:br/>
      </w:r>
      <w:r>
        <w:t xml:space="preserve">4.</w:t>
      </w:r>
      <w:r>
        <w:t xml:space="preserve"> </w:t>
      </w:r>
      <m:oMath>
        <m:d>
          <m:dPr>
            <m:begChr m:val="("/>
            <m:sepChr m:val=""/>
            <m:endChr m:val=")"/>
            <m:grow/>
          </m:dPr>
          <m:e>
            <m:r>
              <m:t>A</m:t>
            </m:r>
            <m:r>
              <m:rPr>
                <m:sty m:val="p"/>
              </m:rPr>
              <m:t>=</m:t>
            </m:r>
            <m:r>
              <m:t>1</m:t>
            </m:r>
            <m:r>
              <m:rPr>
                <m:sty m:val="p"/>
              </m:rPr>
              <m:t>,</m:t>
            </m:r>
            <m:r>
              <m:t>E</m:t>
            </m:r>
            <m:r>
              <m:rPr>
                <m:sty m:val="p"/>
              </m:rPr>
              <m:t>=</m:t>
            </m:r>
            <m:r>
              <m:t>1</m:t>
            </m:r>
          </m:e>
        </m:d>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20"/>
    <w:bookmarkStart w:id="22" w:name="definition-of-interaction"/>
    <w:p>
      <w:pPr>
        <w:pStyle w:val="Heading3"/>
      </w:pPr>
      <w:r>
        <w:t xml:space="preserve">1.2 Definition of Interaction</w:t>
      </w:r>
    </w:p>
    <w:bookmarkStart w:id="21" w:name="def-interaction-additive"/>
    <w:p>
      <w:pPr>
        <w:pStyle w:val="FirstParagraph"/>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21"/>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22"/>
    <w:bookmarkStart w:id="24" w:name="X901d5386f66054a648038aefd77024f717d79a2"/>
    <w:p>
      <w:pPr>
        <w:pStyle w:val="Heading3"/>
      </w:pPr>
      <w:r>
        <w:t xml:space="preserve">1.3 Example: Interaction Between Aspirin and Exercise</w:t>
      </w:r>
    </w:p>
    <w:bookmarkStart w:id="23" w:name="exm-interaction-example"/>
    <w:p>
      <w:pPr>
        <w:pStyle w:val="FirstParagraph"/>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d>
          <m:dPr>
            <m:begChr m:val="("/>
            <m:sepChr m:val=""/>
            <m:endChr m:val=")"/>
            <m:grow/>
          </m:dPr>
          <m:e>
            <m:r>
              <m:rPr>
                <m:sty m:val="p"/>
              </m:rPr>
              <m:t>−</m:t>
            </m:r>
            <m:r>
              <m:t>0.10</m:t>
            </m:r>
          </m:e>
        </m:d>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d>
          <m:dPr>
            <m:begChr m:val="("/>
            <m:sepChr m:val=""/>
            <m:endChr m:val=")"/>
            <m:grow/>
          </m:dPr>
          <m:e>
            <m:r>
              <m:rPr>
                <m:sty m:val="p"/>
              </m:rPr>
              <m:t>−</m:t>
            </m:r>
            <m:r>
              <m:t>0.15</m:t>
            </m:r>
          </m:e>
        </m:d>
        <m:r>
          <m:rPr>
            <m:sty m:val="p"/>
          </m:rPr>
          <m:t>=</m:t>
        </m:r>
        <m:r>
          <m:rPr>
            <m:sty m:val="p"/>
          </m:rPr>
          <m:t>−</m:t>
        </m:r>
        <m:r>
          <m:t>0.05</m:t>
        </m:r>
      </m:oMath>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23"/>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d>
          <m:dPr>
            <m:begChr m:val="|"/>
            <m:sepChr m:val=""/>
            <m:endChr m:val="|"/>
            <m:grow/>
          </m:dPr>
          <m:e>
            <m:r>
              <m:rPr>
                <m:nor/>
                <m:sty m:val="p"/>
              </m:rPr>
              <m:t>Joint effect</m:t>
            </m:r>
          </m:e>
        </m:d>
        <m:r>
          <m:rPr>
            <m:sty m:val="p"/>
          </m:rPr>
          <m:t>&gt;</m:t>
        </m:r>
        <m:d>
          <m:dPr>
            <m:begChr m:val="|"/>
            <m:sepChr m:val=""/>
            <m:endChr m:val="|"/>
            <m:grow/>
          </m:dPr>
          <m:e>
            <m:r>
              <m:rPr>
                <m:nor/>
                <m:sty m:val="p"/>
              </m:rPr>
              <m:t>Sum of individual effects</m:t>
            </m:r>
          </m:e>
        </m:d>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d>
          <m:dPr>
            <m:begChr m:val="|"/>
            <m:sepChr m:val=""/>
            <m:endChr m:val="|"/>
            <m:grow/>
          </m:dPr>
          <m:e>
            <m:r>
              <m:rPr>
                <m:nor/>
                <m:sty m:val="p"/>
              </m:rPr>
              <m:t>Joint effect</m:t>
            </m:r>
          </m:e>
        </m:d>
        <m:r>
          <m:rPr>
            <m:sty m:val="p"/>
          </m:rPr>
          <m:t>&lt;</m:t>
        </m:r>
        <m:d>
          <m:dPr>
            <m:begChr m:val="|"/>
            <m:sepChr m:val=""/>
            <m:endChr m:val="|"/>
            <m:grow/>
          </m:dPr>
          <m:e>
            <m:r>
              <m:rPr>
                <m:nor/>
                <m:sty m:val="p"/>
              </m:rPr>
              <m:t>Sum of individual effects</m:t>
            </m:r>
          </m:e>
        </m:d>
      </m:oMath>
    </w:p>
    <w:bookmarkEnd w:id="24"/>
    <w:bookmarkEnd w:id="25"/>
    <w:bookmarkStart w:id="28"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2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d>
          <m:dPr>
            <m:begChr m:val="("/>
            <m:sepChr m:val=""/>
            <m:endChr m:val=")"/>
            <m:grow/>
          </m:dPr>
          <m:e>
            <m:r>
              <m:t>A</m:t>
            </m:r>
            <m:r>
              <m:rPr>
                <m:sty m:val="p"/>
              </m:rPr>
              <m:t>,</m:t>
            </m:r>
            <m:r>
              <m:t>E</m:t>
            </m:r>
          </m:e>
        </m:d>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d>
            <m:dPr>
              <m:begChr m:val="("/>
              <m:sepChr m:val=""/>
              <m:endChr m:val=")"/>
              <m:grow/>
            </m:dPr>
            <m:e>
              <m:r>
                <m:t>A</m:t>
              </m:r>
              <m:r>
                <m:rPr>
                  <m:sty m:val="p"/>
                </m:rPr>
                <m:t>,</m:t>
              </m:r>
              <m:r>
                <m:t>E</m:t>
              </m:r>
            </m:e>
          </m:d>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E</m:t>
              </m:r>
              <m:r>
                <m:rPr>
                  <m:sty m:val="p"/>
                </m:rPr>
                <m:t>=</m:t>
              </m:r>
              <m:r>
                <m:t>e</m:t>
              </m:r>
            </m:e>
          </m:d>
          <m:r>
            <m:rPr>
              <m:sty m:val="p"/>
            </m:rPr>
            <m:t>&gt;</m:t>
          </m:r>
          <m:r>
            <m:t>0</m:t>
          </m:r>
          <m:r>
            <m:t> </m:t>
          </m:r>
          <m:r>
            <m:rPr>
              <m:nor/>
              <m:sty m:val="p"/>
            </m:rPr>
            <m:t>for all </m:t>
          </m:r>
          <m:d>
            <m:dPr>
              <m:begChr m:val="("/>
              <m:sepChr m:val=""/>
              <m:endChr m:val=")"/>
              <m:grow/>
            </m:dPr>
            <m:e>
              <m:r>
                <m:t>a</m:t>
              </m:r>
              <m:r>
                <m:rPr>
                  <m:sty m:val="p"/>
                </m:rPr>
                <m:t>,</m:t>
              </m:r>
              <m:r>
                <m:t>e</m:t>
              </m:r>
            </m:e>
          </m:d>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d>
          <m:dPr>
            <m:begChr m:val="("/>
            <m:sepChr m:val=""/>
            <m:endChr m:val=")"/>
            <m:grow/>
          </m:dPr>
          <m:e>
            <m:r>
              <m:t>A</m:t>
            </m:r>
            <m:r>
              <m:rPr>
                <m:sty m:val="p"/>
              </m:rPr>
              <m:t>,</m:t>
            </m:r>
            <m:r>
              <m:t>E</m:t>
            </m:r>
          </m:e>
        </m:d>
      </m:oMath>
      <w:r>
        <w:t xml:space="preserve"> </w:t>
      </w:r>
      <w:r>
        <w:t xml:space="preserve">as a single joint treatment with four levels:</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0</m:t>
            </m:r>
          </m:e>
        </m:d>
        <m:r>
          <m:rPr>
            <m:sty m:val="p"/>
          </m:rPr>
          <m:t>,</m:t>
        </m:r>
        <m:d>
          <m:dPr>
            <m:begChr m:val="("/>
            <m:sepChr m:val=""/>
            <m:endChr m:val=")"/>
            <m:grow/>
          </m:dPr>
          <m:e>
            <m:r>
              <m:t>0</m:t>
            </m:r>
            <m:r>
              <m:rPr>
                <m:sty m:val="p"/>
              </m:rPr>
              <m:t>,</m:t>
            </m:r>
            <m:r>
              <m:t>1</m:t>
            </m:r>
          </m:e>
        </m:d>
        <m:r>
          <m:rPr>
            <m:sty m:val="p"/>
          </m:rPr>
          <m:t>,</m:t>
        </m:r>
        <m:d>
          <m:dPr>
            <m:begChr m:val="("/>
            <m:sepChr m:val=""/>
            <m:endChr m:val=")"/>
            <m:grow/>
          </m:dPr>
          <m:e>
            <m:r>
              <m:t>1</m:t>
            </m:r>
            <m:r>
              <m:rPr>
                <m:sty m:val="p"/>
              </m:rPr>
              <m:t>,</m:t>
            </m:r>
            <m:r>
              <m:t>1</m:t>
            </m:r>
          </m:e>
        </m:d>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d>
          <m:dPr>
            <m:begChr m:val="("/>
            <m:sepChr m:val=""/>
            <m:endChr m:val=")"/>
            <m:grow/>
          </m:dPr>
          <m:e>
            <m:r>
              <m:t>A</m:t>
            </m:r>
            <m:r>
              <m:rPr>
                <m:sty m:val="p"/>
              </m:rPr>
              <m:t>,</m:t>
            </m:r>
            <m:r>
              <m:t>E</m:t>
            </m:r>
          </m:e>
        </m:d>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26"/>
    <w:bookmarkStart w:id="2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d>
          <m:dPr>
            <m:begChr m:val="("/>
            <m:sepChr m:val=""/>
            <m:endChr m:val=")"/>
            <m:grow/>
          </m:dPr>
          <m:e>
            <m:r>
              <m:t>a</m:t>
            </m:r>
            <m:r>
              <m:rPr>
                <m:sty m:val="p"/>
              </m:rPr>
              <m:t>,</m:t>
            </m:r>
            <m:r>
              <m:t>e</m:t>
            </m:r>
          </m:e>
        </m:d>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27"/>
    <w:bookmarkEnd w:id="28"/>
    <w:bookmarkStart w:id="32"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2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29"/>
    <w:bookmarkStart w:id="3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bookmarkStart w:id="3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p>
    <w:p>
      <w:pPr>
        <w:pStyle w:val="Compact"/>
        <w:numPr>
          <w:ilvl w:val="0"/>
          <w:numId w:val="1017"/>
        </w:numPr>
      </w:pPr>
      <m:oMath>
        <m: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30"/>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31"/>
    <w:bookmarkEnd w:id="32"/>
    <w:bookmarkStart w:id="36"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bookmarkStart w:id="33"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33"/>
    <w:bookmarkStart w:id="35"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bookmarkStart w:id="34"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34"/>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35"/>
    <w:bookmarkEnd w:id="36"/>
    <w:bookmarkStart w:id="40"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bookmarkStart w:id="37"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37"/>
    <w:bookmarkStart w:id="39"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bookmarkStart w:id="38" w:name="exm-sufficient-cause-interaction"/>
    <w:p>
      <w:pPr>
        <w:pStyle w:val="FirstParagraph"/>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38"/>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9"/>
    <w:bookmarkEnd w:id="40"/>
    <w:bookmarkStart w:id="43"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41"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41"/>
    <w:bookmarkStart w:id="42"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42"/>
    <w:bookmarkEnd w:id="43"/>
    <w:bookmarkStart w:id="44"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d>
          <m:dPr>
            <m:begChr m:val="("/>
            <m:sepChr m:val=""/>
            <m:endChr m:val=")"/>
            <m:grow/>
          </m:dPr>
          <m:e>
            <m:r>
              <m:t>A</m:t>
            </m:r>
            <m:r>
              <m:rPr>
                <m:sty m:val="p"/>
              </m:rPr>
              <m:t>,</m:t>
            </m:r>
            <m:r>
              <m:t>E</m:t>
            </m:r>
          </m:e>
        </m:d>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2026-01-27T00:52:55Z</dcterms:created>
  <dcterms:modified xsi:type="dcterms:W3CDTF">2026-01-27T00:52:55Z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