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22"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20"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r>
              <m:t>a</m:t>
            </m:r>
            <m:r>
              <m:rPr>
                <m:sty m:val="p"/>
              </m:rPr>
              <m:t>′</m:t>
            </m:r>
          </m:sup>
        </m:sSup>
      </m:oMath>
      <w:r>
        <w:t xml:space="preserve"> </w:t>
      </w:r>
      <w:r>
        <w:t xml:space="preserve">as a function of treatment and covariates:</w:t>
      </w:r>
    </w:p>
    <w:p>
      <w:pPr>
        <w:pStyle w:val="BodyText"/>
      </w:pPr>
      <m:oMathPara>
        <m:oMathParaPr>
          <m:jc m:val="center"/>
        </m:oMathParaPr>
        <m:oMath>
          <m:r>
            <m:t>E</m:t>
          </m:r>
          <m:d>
            <m:dPr>
              <m:begChr m:val="["/>
              <m:sepChr m:val=""/>
              <m:endChr m:val="]"/>
              <m:grow/>
            </m:dPr>
            <m:e>
              <m:sSup>
                <m:e>
                  <m:r>
                    <m:t>Y</m:t>
                  </m:r>
                </m:e>
                <m:sup>
                  <m:r>
                    <m:t>a</m:t>
                  </m:r>
                </m:sup>
              </m:sSup>
              <m:r>
                <m:rPr>
                  <m:sty m:val="p"/>
                </m:rPr>
                <m:t>−</m:t>
              </m:r>
              <m:sSup>
                <m:e>
                  <m:r>
                    <m:t>Y</m:t>
                  </m:r>
                </m:e>
                <m:sup>
                  <m:r>
                    <m:t>a</m:t>
                  </m:r>
                  <m:r>
                    <m:rPr>
                      <m:sty m:val="p"/>
                    </m:rPr>
                    <m:t>′</m:t>
                  </m:r>
                </m:sup>
              </m:sSup>
              <m:r>
                <m:rPr>
                  <m:sty m:val="p"/>
                </m:rPr>
                <m:t>∣</m:t>
              </m:r>
              <m:r>
                <m:t>L</m:t>
              </m:r>
            </m:e>
          </m:d>
          <m:r>
            <m:rPr>
              <m:sty m:val="p"/>
            </m:rPr>
            <m:t>=</m:t>
          </m:r>
          <m:r>
            <m:t>γ</m:t>
          </m:r>
          <m:d>
            <m:dPr>
              <m:begChr m:val="("/>
              <m:sepChr m:val=""/>
              <m:endChr m:val=")"/>
              <m:grow/>
            </m:dPr>
            <m:e>
              <m:r>
                <m:t>a</m:t>
              </m:r>
              <m:r>
                <m:rPr>
                  <m:sty m:val="p"/>
                </m:rPr>
                <m:t>,</m:t>
              </m:r>
              <m:r>
                <m:t>a</m:t>
              </m:r>
              <m:r>
                <m:rPr>
                  <m:sty m:val="p"/>
                </m:rPr>
                <m:t>′</m:t>
              </m:r>
              <m:r>
                <m:rPr>
                  <m:sty m:val="p"/>
                </m:rPr>
                <m:t>;</m:t>
              </m:r>
              <m:r>
                <m:t>ψ</m:t>
              </m:r>
              <m:r>
                <m:rPr>
                  <m:sty m:val="p"/>
                </m:rPr>
                <m:t>,</m:t>
              </m:r>
              <m:r>
                <m:t>L</m:t>
              </m:r>
            </m:e>
          </m:d>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r>
          <m:t>a</m:t>
        </m:r>
        <m:r>
          <m:rPr>
            <m:sty m:val="p"/>
          </m:rPr>
          <m:t>′</m:t>
        </m:r>
        <m:r>
          <m:rPr>
            <m:sty m:val="p"/>
          </m:rPr>
          <m:t>=</m:t>
        </m:r>
        <m:r>
          <m:t>0</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e>
        </m:d>
      </m:oMath>
      <w:r>
        <w:t xml:space="preserve"> </w:t>
      </w:r>
      <w:r>
        <w:t xml:space="preserve">are the parameters of interest.</w:t>
      </w:r>
    </w:p>
    <w:bookmarkEnd w:id="20"/>
    <w:bookmarkStart w:id="21"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21"/>
    <w:bookmarkEnd w:id="22"/>
    <w:bookmarkStart w:id="26"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23"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23"/>
    <w:bookmarkStart w:id="24"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24"/>
    <w:bookmarkStart w:id="25"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d>
          <m:dPr>
            <m:begChr m:val="["/>
            <m:sepChr m:val=""/>
            <m:endChr m:val="]"/>
            <m:grow/>
          </m:dPr>
          <m:e>
            <m:sSup>
              <m:e>
                <m:r>
                  <m:t>Y</m:t>
                </m:r>
              </m:e>
              <m:sup>
                <m:r>
                  <m:t>1</m:t>
                </m:r>
              </m:sup>
            </m:sSup>
          </m:e>
        </m:d>
        <m:r>
          <m:rPr>
            <m:sty m:val="p"/>
          </m:rPr>
          <m:t>=</m:t>
        </m:r>
        <m: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25"/>
    <w:bookmarkEnd w:id="26"/>
    <w:bookmarkStart w:id="2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27"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d>
          <m:dPr>
            <m:begChr m:val="("/>
            <m:sepChr m:val=""/>
            <m:endChr m:val=")"/>
            <m:grow/>
          </m:dPr>
          <m:e>
            <m:r>
              <m:t>ψ</m:t>
            </m:r>
          </m:e>
        </m:d>
      </m:oMath>
      <w:r>
        <w:t xml:space="preserve">:</w:t>
      </w:r>
    </w:p>
    <w:p>
      <w:pPr>
        <w:pStyle w:val="BodyText"/>
      </w:pPr>
      <m:oMathPara>
        <m:oMathParaPr>
          <m:jc m:val="center"/>
        </m:oMathParaPr>
        <m:oMath>
          <m:sSub>
            <m:e>
              <m:r>
                <m:t>H</m:t>
              </m:r>
            </m:e>
            <m:sub>
              <m:r>
                <m:t>0</m:t>
              </m:r>
            </m:sub>
          </m:sSub>
          <m:d>
            <m:dPr>
              <m:begChr m:val="("/>
              <m:sepChr m:val=""/>
              <m:endChr m:val=")"/>
              <m:grow/>
            </m:dPr>
            <m:e>
              <m:r>
                <m:t>ψ</m:t>
              </m:r>
            </m:e>
          </m:d>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d>
            <m:dPr>
              <m:begChr m:val="("/>
              <m:sepChr m:val=""/>
              <m:endChr m:val=")"/>
              <m:grow/>
            </m:dPr>
            <m:e>
              <m:r>
                <m:t>ψ</m:t>
              </m:r>
            </m:e>
          </m:d>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27"/>
    <w:bookmarkStart w:id="28"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d>
          <m:dPr>
            <m:begChr m:val="("/>
            <m:sepChr m:val=""/>
            <m:endChr m:val=")"/>
            <m:grow/>
          </m:dPr>
          <m:e>
            <m:r>
              <m:t>ψ</m:t>
            </m:r>
          </m:e>
        </m:d>
      </m:oMath>
      <w:r>
        <w:t xml:space="preserve">, we can construct:</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Key property</w:t>
      </w:r>
      <w:r>
        <w:t xml:space="preserve">: If</w:t>
      </w:r>
      <w:r>
        <w:t xml:space="preserve"> </w:t>
      </w:r>
      <m:oMath>
        <m:sSub>
          <m:e>
            <m:r>
              <m:t>H</m:t>
            </m:r>
          </m:e>
          <m:sub>
            <m:r>
              <m:t>0</m:t>
            </m:r>
          </m:sub>
        </m:sSub>
        <m:d>
          <m:dPr>
            <m:begChr m:val="("/>
            <m:sepChr m:val=""/>
            <m:endChr m:val=")"/>
            <m:grow/>
          </m:dPr>
          <m:e>
            <m:r>
              <m:t>ψ</m:t>
            </m:r>
          </m:e>
        </m:d>
      </m:oMath>
      <w:r>
        <w:t xml:space="preserve"> </w:t>
      </w:r>
      <w:r>
        <w:t xml:space="preserve">is true, then:</w:t>
      </w:r>
    </w:p>
    <w:p>
      <w:pPr>
        <w:pStyle w:val="BodyText"/>
      </w:pPr>
      <m:oMathPara>
        <m:oMathParaPr>
          <m:jc m:val="center"/>
        </m:oMathParaPr>
        <m:oMath>
          <m:r>
            <m:t>H</m:t>
          </m:r>
          <m:d>
            <m:dPr>
              <m:begChr m:val="("/>
              <m:sepChr m:val=""/>
              <m:endChr m:val=")"/>
              <m:grow/>
            </m:dPr>
            <m:e>
              <m:r>
                <m:t>ψ</m:t>
              </m:r>
            </m:e>
          </m:d>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d>
            <m:dPr>
              <m:begChr m:val="("/>
              <m:sepChr m:val=""/>
              <m:endChr m:val=")"/>
              <m:grow/>
            </m:dPr>
            <m:e>
              <m:r>
                <m:t>ψ</m:t>
              </m:r>
            </m:e>
          </m:d>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d>
          <m:dPr>
            <m:begChr m:val="("/>
            <m:sepChr m:val=""/>
            <m:endChr m:val=")"/>
            <m:grow/>
          </m:dPr>
          <m:e>
            <m:r>
              <m:t>ψ</m:t>
            </m:r>
          </m:e>
        </m:d>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w:t>
      </w:r>
    </w:p>
    <w:bookmarkEnd w:id="28"/>
    <w:bookmarkEnd w:id="29"/>
    <w:bookmarkStart w:id="32"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30"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Step 3</w:t>
      </w:r>
      <w:r>
        <w:t xml:space="preserve">: Test whether</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d>
            <m:dPr>
              <m:begChr m:val="["/>
              <m:sepChr m:val=""/>
              <m:endChr m:val="]"/>
              <m:grow/>
            </m:dPr>
            <m:e>
              <m:r>
                <m:t>H</m:t>
              </m:r>
              <m:d>
                <m:dPr>
                  <m:begChr m:val="("/>
                  <m:sepChr m:val=""/>
                  <m:endChr m:val=")"/>
                  <m:grow/>
                </m:dPr>
                <m:e>
                  <m:r>
                    <m:t>ψ</m:t>
                  </m:r>
                </m:e>
              </m:d>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where</w:t>
      </w:r>
      <w:r>
        <w:t xml:space="preserve"> </w:t>
      </w:r>
      <m:oMath>
        <m:sSub>
          <m:e>
            <m:r>
              <m:t>U</m:t>
            </m:r>
          </m:e>
          <m:sub>
            <m:r>
              <m:t>i</m:t>
            </m:r>
          </m:sub>
        </m:sSub>
        <m:d>
          <m:dPr>
            <m:begChr m:val="("/>
            <m:sepChr m:val=""/>
            <m:endChr m:val=")"/>
            <m:grow/>
          </m:dPr>
          <m:e>
            <m:r>
              <m:t>ψ</m:t>
            </m:r>
          </m:e>
        </m:d>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sSup>
          <m:e>
            <m:d>
              <m:dPr>
                <m:begChr m:val="("/>
                <m:sepChr m:val=""/>
                <m:endChr m:val=")"/>
                <m:grow/>
              </m:dPr>
              <m:e>
                <m:r>
                  <m:t>1</m:t>
                </m:r>
                <m:r>
                  <m:rPr>
                    <m:sty m:val="p"/>
                  </m:rPr>
                  <m:t>,</m:t>
                </m:r>
                <m:sSub>
                  <m:e>
                    <m:r>
                      <m:t>L</m:t>
                    </m:r>
                  </m:e>
                  <m:sub>
                    <m:r>
                      <m:t>i</m:t>
                    </m:r>
                  </m:sub>
                </m:sSub>
              </m:e>
            </m:d>
          </m:e>
          <m:sup>
            <m:r>
              <m:rPr>
                <m:sty m:val="p"/>
              </m:rPr>
              <m:t>⊤</m:t>
            </m:r>
          </m:sup>
        </m:sSup>
      </m:oMath>
      <w:r>
        <w:t xml:space="preserve">).</w:t>
      </w:r>
    </w:p>
    <w:bookmarkEnd w:id="30"/>
    <w:bookmarkStart w:id="31"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sSub>
                <m:e>
                  <m:r>
                    <m:t>ψ</m:t>
                  </m:r>
                </m:e>
                <m:sub>
                  <m:r>
                    <m:t>0</m:t>
                  </m:r>
                </m:sub>
              </m:sSub>
            </m:e>
          </m:d>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A</m:t>
                      </m:r>
                    </m:e>
                    <m:sub>
                      <m:r>
                        <m:t>i</m:t>
                      </m:r>
                    </m:sub>
                  </m:sSub>
                  <m:r>
                    <m:rPr>
                      <m:sty m:val="p"/>
                    </m:rPr>
                    <m:t>−</m:t>
                  </m:r>
                  <m:acc>
                    <m:accPr>
                      <m:chr m:val="̂"/>
                    </m:accPr>
                    <m:e>
                      <m:r>
                        <m:t>E</m:t>
                      </m:r>
                    </m:e>
                  </m:acc>
                  <m:d>
                    <m:dPr>
                      <m:begChr m:val="["/>
                      <m:sepChr m:val=""/>
                      <m:endChr m:val="]"/>
                      <m:grow/>
                    </m:dPr>
                    <m:e>
                      <m:r>
                        <m:t>A</m:t>
                      </m:r>
                      <m:r>
                        <m:rPr>
                          <m:sty m:val="p"/>
                        </m:rPr>
                        <m:t>∣</m:t>
                      </m:r>
                      <m:sSub>
                        <m:e>
                          <m:r>
                            <m:t>L</m:t>
                          </m:r>
                        </m:e>
                        <m:sub>
                          <m:r>
                            <m:t>i</m:t>
                          </m:r>
                        </m:sub>
                      </m:sSub>
                    </m:e>
                  </m:d>
                </m:e>
              </m:d>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This requires:</w:t>
      </w:r>
      <w:r>
        <w:t xml:space="preserve"> </w:t>
      </w:r>
      <w:r>
        <w:t xml:space="preserve">1. Estimating</w:t>
      </w:r>
      <w:r>
        <w:t xml:space="preserve"> </w:t>
      </w:r>
      <m:oMath>
        <m: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31"/>
    <w:bookmarkEnd w:id="32"/>
    <w:bookmarkStart w:id="35"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33"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d>
          <m:dPr>
            <m:begChr m:val="("/>
            <m:sepChr m:val=""/>
            <m:endChr m:val=")"/>
            <m:grow/>
          </m:dPr>
          <m:e>
            <m:r>
              <m:t>ψ</m:t>
            </m:r>
          </m:e>
        </m:d>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d>
          <m:dPr>
            <m:begChr m:val="["/>
            <m:sepChr m:val=""/>
            <m:endChr m:val="]"/>
            <m:grow/>
          </m:dPr>
          <m:e>
            <m:r>
              <m:t>H</m:t>
            </m:r>
            <m:d>
              <m:dPr>
                <m:begChr m:val="("/>
                <m:sepChr m:val=""/>
                <m:endChr m:val=")"/>
                <m:grow/>
              </m:dPr>
              <m:e>
                <m:r>
                  <m:t>ψ</m:t>
                </m:r>
              </m:e>
            </m:d>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33"/>
    <w:bookmarkStart w:id="34"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34"/>
    <w:bookmarkEnd w:id="35"/>
    <w:bookmarkStart w:id="38"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36"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d>
            <m:dPr>
              <m:begChr m:val="["/>
              <m:sepChr m:val=""/>
              <m:endChr m:val="]"/>
              <m:grow/>
            </m:dPr>
            <m:e>
              <m:r>
                <m:t>E</m:t>
              </m:r>
              <m:d>
                <m:dPr>
                  <m:begChr m:val="["/>
                  <m:sepChr m:val=""/>
                  <m:endChr m:val="]"/>
                  <m:grow/>
                </m:dPr>
                <m:e>
                  <m:sSup>
                    <m:e>
                      <m:r>
                        <m:t>Y</m:t>
                      </m:r>
                    </m:e>
                    <m:sup>
                      <m:r>
                        <m:t>1</m:t>
                      </m:r>
                    </m:sup>
                  </m:sSup>
                  <m:r>
                    <m:rPr>
                      <m:sty m:val="p"/>
                    </m:rPr>
                    <m:t>−</m:t>
                  </m:r>
                  <m:sSup>
                    <m:e>
                      <m:r>
                        <m:t>Y</m:t>
                      </m:r>
                    </m:e>
                    <m:sup>
                      <m:r>
                        <m:t>0</m:t>
                      </m:r>
                    </m:sup>
                  </m:sSup>
                  <m:r>
                    <m:rPr>
                      <m:sty m:val="p"/>
                    </m:rPr>
                    <m:t>∣</m:t>
                  </m:r>
                  <m:r>
                    <m:t>L</m:t>
                  </m:r>
                </m:e>
              </m:d>
            </m:e>
          </m:d>
          <m:r>
            <m:rPr>
              <m:sty m:val="p"/>
            </m:rPr>
            <m:t>=</m:t>
          </m:r>
          <m:sSub>
            <m:e>
              <m:r>
                <m:t>E</m:t>
              </m:r>
            </m:e>
            <m:sub>
              <m:r>
                <m:t>L</m:t>
              </m:r>
            </m:sub>
          </m:sSub>
          <m:d>
            <m:dPr>
              <m:begChr m:val="["/>
              <m:sepChr m:val=""/>
              <m:endChr m:val="]"/>
              <m:grow/>
            </m:dPr>
            <m:e>
              <m:sSub>
                <m:e>
                  <m:r>
                    <m:t>ψ</m:t>
                  </m:r>
                </m:e>
                <m:sub>
                  <m:r>
                    <m:t>0</m:t>
                  </m:r>
                </m:sub>
              </m:sSub>
              <m:r>
                <m:rPr>
                  <m:sty m:val="p"/>
                </m:rPr>
                <m:t>+</m:t>
              </m:r>
              <m:sSubSup>
                <m:e>
                  <m:r>
                    <m:t>ψ</m:t>
                  </m:r>
                </m:e>
                <m:sub>
                  <m:r>
                    <m:t>1</m:t>
                  </m:r>
                </m:sub>
                <m:sup>
                  <m:r>
                    <m:rPr>
                      <m:sty m:val="p"/>
                    </m:rPr>
                    <m:t>⊤</m:t>
                  </m:r>
                </m:sup>
              </m:sSubSup>
              <m:r>
                <m:t>L</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36"/>
    <w:bookmarkStart w:id="37"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rPr>
            <m:sty m:val="p"/>
          </m:rPr>
          <m:t>ℓ</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rPr>
                  <m:sty m:val="p"/>
                </m:rPr>
                <m:t>ℓ</m:t>
              </m:r>
            </m:e>
          </m:d>
          <m:r>
            <m:rPr>
              <m:sty m:val="p"/>
            </m:rPr>
            <m:t>=</m:t>
          </m:r>
          <m:sSub>
            <m:e>
              <m:r>
                <m:t>ψ</m:t>
              </m:r>
            </m:e>
            <m:sub>
              <m:r>
                <m:t>0</m:t>
              </m:r>
            </m:sub>
          </m:sSub>
          <m:r>
            <m:rPr>
              <m:sty m:val="p"/>
            </m:rPr>
            <m:t>+</m:t>
          </m:r>
          <m:sSubSup>
            <m:e>
              <m:r>
                <m:t>ψ</m:t>
              </m:r>
            </m:e>
            <m:sub>
              <m:r>
                <m:t>1</m:t>
              </m:r>
            </m:sub>
            <m:sup>
              <m:r>
                <m:rPr>
                  <m:sty m:val="p"/>
                </m:rPr>
                <m:t>⊤</m:t>
              </m:r>
            </m:sup>
          </m:sSubSup>
          <m:r>
            <m:rPr>
              <m:sty m:val="p"/>
            </m:rP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37"/>
    <w:bookmarkEnd w:id="38"/>
    <w:bookmarkStart w:id="41"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9" w:name="general-snmm"/>
    <w:p>
      <w:pPr>
        <w:pStyle w:val="Heading3"/>
      </w:pPr>
      <w:r>
        <w:t xml:space="preserve">7.1 General SNMM</w:t>
      </w:r>
    </w:p>
    <w:p>
      <w:pPr>
        <w:pStyle w:val="FirstParagraph"/>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e>
        </m:d>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e>
              </m:d>
            </m:e>
          </m:d>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9"/>
    <w:bookmarkStart w:id="40"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sSup>
          <m:e>
            <m:d>
              <m:dPr>
                <m:begChr m:val="("/>
                <m:sepChr m:val=""/>
                <m:endChr m:val=")"/>
                <m:grow/>
              </m:dPr>
              <m:e>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d>
          <m:dPr>
            <m:begChr m:val="("/>
            <m:sepChr m:val=""/>
            <m:endChr m:val=")"/>
            <m:grow/>
          </m:dPr>
          <m:e>
            <m:sSub>
              <m:e>
                <m:r>
                  <m:t>A</m:t>
                </m:r>
              </m:e>
              <m:sub>
                <m:r>
                  <m:t>i</m:t>
                </m:r>
              </m:sub>
            </m:sSub>
            <m:r>
              <m:rPr>
                <m:sty m:val="p"/>
              </m:rPr>
              <m:t>−</m:t>
            </m:r>
            <m:r>
              <m:t>E</m:t>
            </m:r>
            <m:d>
              <m:dPr>
                <m:begChr m:val="["/>
                <m:sepChr m:val=""/>
                <m:endChr m:val="]"/>
                <m:grow/>
              </m:dPr>
              <m:e>
                <m:r>
                  <m:t>A</m:t>
                </m:r>
                <m:r>
                  <m:rPr>
                    <m:sty m:val="p"/>
                  </m:rPr>
                  <m:t>∣</m:t>
                </m:r>
                <m:sSub>
                  <m:e>
                    <m:r>
                      <m:t>L</m:t>
                    </m:r>
                  </m:e>
                  <m:sub>
                    <m:r>
                      <m:t>i</m:t>
                    </m:r>
                  </m:sub>
                </m:sSub>
              </m:e>
            </m:d>
          </m:e>
        </m:d>
        <m:sSup>
          <m:e>
            <m:d>
              <m:dPr>
                <m:begChr m:val="("/>
                <m:sepChr m:val=""/>
                <m:endChr m:val=")"/>
                <m:grow/>
              </m:dPr>
              <m:e>
                <m:r>
                  <m:t>1</m:t>
                </m:r>
                <m:r>
                  <m:rPr>
                    <m:sty m:val="p"/>
                  </m:rPr>
                  <m:t>,</m:t>
                </m:r>
                <m:sSub>
                  <m:e>
                    <m:r>
                      <m:t>L</m:t>
                    </m:r>
                  </m:e>
                  <m:sub>
                    <m:r>
                      <m:t>i</m:t>
                    </m:r>
                    <m:r>
                      <m:t>1</m:t>
                    </m:r>
                  </m:sub>
                </m:sSub>
                <m:r>
                  <m:rPr>
                    <m:sty m:val="p"/>
                  </m:rPr>
                  <m:t>,</m:t>
                </m:r>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40"/>
    <w:bookmarkEnd w:id="41"/>
    <w:bookmarkStart w:id="44"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42"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This weights each uncensored observation by the inverse probability of being uncensored.</w:t>
      </w:r>
    </w:p>
    <w:bookmarkEnd w:id="42"/>
    <w:bookmarkStart w:id="43"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d>
                <m:dPr>
                  <m:begChr m:val="["/>
                  <m:sepChr m:val=""/>
                  <m:endChr m:val="]"/>
                  <m:grow/>
                </m:dPr>
                <m:e>
                  <m:sSub>
                    <m:e>
                      <m:r>
                        <m:t>A</m:t>
                      </m:r>
                    </m:e>
                    <m:sub>
                      <m:r>
                        <m:t>i</m:t>
                      </m:r>
                    </m:sub>
                  </m:sSub>
                  <m:r>
                    <m:rPr>
                      <m:sty m:val="p"/>
                    </m:rPr>
                    <m:t>∣</m:t>
                  </m:r>
                  <m:sSub>
                    <m:e>
                      <m:r>
                        <m:t>L</m:t>
                      </m:r>
                    </m:e>
                    <m:sub>
                      <m:r>
                        <m:t>i</m:t>
                      </m:r>
                    </m:sub>
                  </m:sSub>
                </m:e>
              </m:d>
              <m:r>
                <m:rPr>
                  <m:sty m:val="p"/>
                </m:rPr>
                <m:t>×</m:t>
              </m:r>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43"/>
    <w:bookmarkEnd w:id="44"/>
    <w:bookmarkStart w:id="47"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45"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45"/>
    <w:bookmarkStart w:id="46"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46"/>
    <w:bookmarkEnd w:id="47"/>
    <w:bookmarkStart w:id="51"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d>
          <m:dPr>
            <m:begChr m:val="("/>
            <m:sepChr m:val=""/>
            <m:endChr m:val=")"/>
            <m:grow/>
          </m:dPr>
          <m:e>
            <m:r>
              <m:t>ψ</m:t>
            </m:r>
          </m:e>
        </m:d>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50" w:name="refs"/>
    <w:bookmarkStart w:id="4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8">
        <w:r>
          <w:rPr>
            <w:rStyle w:val="Hyperlink"/>
          </w:rPr>
          <w:t xml:space="preserve">https://miguelhernan.org/whatifbook</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2026-01-27T00:54:07Z</dcterms:created>
  <dcterms:modified xsi:type="dcterms:W3CDTF">2026-01-27T00:54:07Z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