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2"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ins w:id="23" w:author="PR Preview" w:date="2024-01-01T00:00:00Z">
        <w:r>
          <w:t xml:space="preserve">Equivalently, we can define additive interaction using the interaction contrast.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interaction-contrast"/>
          <w:p>
            <w:pPr>
              <w:pStyle w:val="BodyText"/>
            </w:pPr>
            <w:r>
              <w:rPr>
                <w:b/>
                <w:bCs/>
              </w:rPr>
              <w:t xml:space="preserve">Definition 2 (Interaction Contrast)</w:t>
            </w:r>
            <w:r>
              <w:t xml:space="preserve"> </w:t>
            </w:r>
            <w:r>
              <w:t xml:space="preserve">The</w:t>
            </w:r>
            <w:r>
              <w:t xml:space="preserve"> </w:t>
            </w:r>
            <w:r>
              <w:rPr>
                <w:b/>
                <w:bCs/>
              </w:rPr>
              <w:t xml:space="preserve">interaction contrast</w:t>
            </w:r>
            <w:r>
              <w:t xml:space="preserve"> </w:t>
            </w:r>
            <w:r>
              <w:t xml:space="preserve">is defined as: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bookmarkEnd w:id="11"/>
        </w:tc>
      </w:tr>
    </w:tbl>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2"/>
    <w:bookmarkStart w:id="14"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3"/>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4"/>
    <w:bookmarkEnd w:id="15"/>
    <w:bookmarkStart w:id="1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6"/>
    <w:bookmarkStart w:id="1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7"/>
    <w:bookmarkEnd w:id="18"/>
    <w:bookmarkStart w:id="2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9"/>
    <w:bookmarkStart w:id="2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20"/>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1"/>
    <w:bookmarkEnd w:id="22"/>
    <w:bookmarkStart w:id="27"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sufficient-cause"/>
          <w:p>
            <w:pPr>
              <w:pStyle w:val="BodyText"/>
            </w:pPr>
            <w:r>
              <w:rPr>
                <w:b/>
                <w:bCs/>
              </w:rPr>
              <w:t xml:space="preserve">Definition 3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3"/>
        </w:tc>
      </w:tr>
    </w:tbl>
    <w:bookmarkStart w:id="26" w:name="components-of-sufficient-causes"/>
    <w:p>
      <w:pPr>
        <w:pStyle w:val="Heading3"/>
      </w:pPr>
      <w:r>
        <w:t xml:space="preserve">4.1 Components of Sufficient Causes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component-cause"/>
          <w:p>
            <w:pPr>
              <w:pStyle w:val="BodyText"/>
            </w:pPr>
            <w:r>
              <w:rPr>
                <w:b/>
                <w:bCs/>
              </w:rPr>
              <w:t xml:space="preserve">Definition 4 (Component Cause)</w:t>
            </w:r>
            <w:r>
              <w:t xml:space="preserve"> </w:t>
            </w:r>
            <w:r>
              <w:t xml:space="preserve">Each sufficient cause consists of</w:t>
            </w:r>
            <w:r>
              <w:t xml:space="preserve"> </w:t>
            </w:r>
            <w:r>
              <w:rPr>
                <w:b/>
                <w:bCs/>
              </w:rPr>
              <w:t xml:space="preserve">component causes</w:t>
            </w:r>
            <w:r>
              <w:t xml:space="preserve">—individual factors that, together, are sufficient to produce the outcome.</w:t>
            </w:r>
          </w:p>
          <w:bookmarkEnd w:id="24"/>
        </w:tc>
      </w:tr>
    </w:tbl>
    <w:p>
      <w:pPr>
        <w:pStyle w:val="BodyText"/>
      </w:pPr>
      <w:ins w:id="9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5"/>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6"/>
    <w:bookmarkEnd w:id="27"/>
    <w:bookmarkStart w:id="31"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sufficient-cause-interaction"/>
          <w:p>
            <w:pPr>
              <w:pStyle w:val="BodyText"/>
            </w:pPr>
            <w:r>
              <w:rPr>
                <w:b/>
                <w:bCs/>
              </w:rPr>
              <w:t xml:space="preserve">Definition 5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8"/>
        </w:tc>
      </w:tr>
    </w:tbl>
    <w:bookmarkStart w:id="30"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9"/>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0"/>
    <w:bookmarkEnd w:id="31"/>
    <w:bookmarkStart w:id="34"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2"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2"/>
    <w:bookmarkStart w:id="33"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2026-08-20T19:57:03Z</dcterms:created>
  <dcterms:modified xsi:type="dcterms:W3CDTF">2026-08-20T19:57:03Z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