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5"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2"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d>
                  <m:dPr>
                    <m:begChr m:val="("/>
                    <m:sepChr m:val=""/>
                    <m:endChr m:val=")"/>
                    <m:grow/>
                  </m:dPr>
                  <m:e>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r>
                  <m:rPr>
                    <m:sty m:val="p"/>
                  </m:rPr>
                  <m:t>+</m:t>
                </m:r>
                <m:d>
                  <m:dPr>
                    <m:begChr m:val="("/>
                    <m:sepChr m:val=""/>
                    <m:endChr m:val=")"/>
                    <m:grow/>
                  </m:dPr>
                  <m:e>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 interaction contrast.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 w:name="def-interaction-contrast"/>
          <w:p>
            <w:pPr>
              <w:pStyle w:val="BodyText"/>
            </w:pPr>
            <w:r>
              <w:rPr>
                <w:b/>
                <w:bCs/>
              </w:rPr>
              <w:t xml:space="preserve">Definition 2 (Interaction Contrast)</w:t>
            </w:r>
            <w:r>
              <w:t xml:space="preserve"> </w:t>
            </w:r>
            <w:r>
              <w:t xml:space="preserve">The</w:t>
            </w:r>
            <w:r>
              <w:t xml:space="preserve"> </w:t>
            </w:r>
            <w:r>
              <w:rPr>
                <w:b/>
                <w:bCs/>
              </w:rPr>
              <w:t xml:space="preserve">interaction contrast</w:t>
            </w:r>
            <w:r>
              <w:t xml:space="preserve"> </w:t>
            </w:r>
            <w:r>
              <w:t xml:space="preserve">is defined as:</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bookmarkEnd w:id="11"/>
        </w:tc>
      </w:tr>
    </w:tbl>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2"/>
    <w:bookmarkStart w:id="14"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p>
              </w:tc>
              <w:tc>
                <w:tcPr/>
                <w:p>
                  <w:pPr>
                    <w:pStyle w:val="Compact"/>
                  </w:pPr>
                  <w:r>
                    <w:t xml:space="preserve">0.30</w:t>
                  </w:r>
                </w:p>
              </w:tc>
            </w:tr>
            <w:tr>
              <w:tc>
                <w:tcPr/>
                <w:p>
                  <w:pPr>
                    <w:pStyle w:val="Compact"/>
                  </w:pPr>
                  <w:r>
                    <w:t xml:space="preserve">Aspirin only:</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oMath>
                </w:p>
              </w:tc>
              <w:tc>
                <w:tcPr/>
                <w:p>
                  <w:pPr>
                    <w:pStyle w:val="Compact"/>
                  </w:pPr>
                  <w:r>
                    <w:t xml:space="preserve">0.25</w:t>
                  </w:r>
                </w:p>
              </w:tc>
            </w:tr>
            <w:tr>
              <w:tc>
                <w:tcPr/>
                <w:p>
                  <w:pPr>
                    <w:pStyle w:val="Compact"/>
                  </w:pPr>
                  <w:r>
                    <w:t xml:space="preserve">Exercise only:</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oMath>
                </w:p>
              </w:tc>
              <w:tc>
                <w:tcPr/>
                <w:p>
                  <w:pPr>
                    <w:pStyle w:val="Compact"/>
                  </w:pPr>
                  <w:r>
                    <w:t xml:space="preserve">0.20</w:t>
                  </w:r>
                </w:p>
              </w:tc>
            </w:tr>
            <w:tr>
              <w:tc>
                <w:tcPr/>
                <w:p>
                  <w:pPr>
                    <w:pStyle w:val="Compact"/>
                  </w:pPr>
                  <w:r>
                    <w:t xml:space="preserve">Both aspirin and exercise:</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r>
              <w:t xml:space="preserve">​</w:t>
            </w:r>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r>
              <w:t xml:space="preserve">​</w:t>
            </w:r>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r>
              <w:t xml:space="preserve">​</w:t>
            </w:r>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3"/>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4"/>
    <w:bookmarkEnd w:id="15"/>
    <w:bookmarkStart w:id="18"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6"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6"/>
    <w:bookmarkStart w:id="17"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7"/>
    <w:bookmarkEnd w:id="18"/>
    <w:bookmarkStart w:id="22"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9"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9"/>
    <w:bookmarkStart w:id="21"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rPr>
                  <m:nor/>
                  <m:sty m:val="p"/>
                </m:rPr>
                <m:t>E</m:t>
              </m:r>
              <m:d>
                <m:dPr>
                  <m:begChr m:val="["/>
                  <m:sepChr m:val=""/>
                  <m:endChr m:val="]"/>
                  <m:grow/>
                </m:dPr>
                <m:e>
                  <m:sSup>
                    <m:e>
                      <m:r>
                        <m:t>Y</m:t>
                      </m:r>
                    </m:e>
                    <m:sup>
                      <m:r>
                        <m:t>0</m:t>
                      </m:r>
                      <m:r>
                        <m:rPr>
                          <m:sty m:val="p"/>
                        </m:rPr>
                        <m:t>,</m:t>
                      </m:r>
                      <m:r>
                        <m:t>0</m:t>
                      </m:r>
                    </m:sup>
                  </m:sSup>
                </m:e>
              </m:d>
              <m:r>
                <m:rPr>
                  <m:sty m:val="p"/>
                </m:rPr>
                <m:t>=</m:t>
              </m:r>
              <m:r>
                <m:t>0.30</m:t>
              </m:r>
              <m:r>
                <m:rPr>
                  <m:sty m:val="p"/>
                </m:rPr>
                <m:t>+</m:t>
              </m:r>
              <m:r>
                <m:t>0.20</m:t>
              </m:r>
              <m:r>
                <m:rPr>
                  <m:sty m:val="p"/>
                </m:rPr>
                <m:t>+</m:t>
              </m:r>
              <m:r>
                <m:t>0.10</m:t>
              </m:r>
              <m:r>
                <m:rPr>
                  <m:sty m:val="p"/>
                </m:rPr>
                <m:t>=</m:t>
              </m:r>
              <m:r>
                <m:t>0.60</m:t>
              </m:r>
            </m:oMath>
            <w:r>
              <w:t xml:space="preserve">​</w:t>
            </w:r>
          </w:p>
          <w:p>
            <w:pPr>
              <w:pStyle w:val="Compact"/>
              <w:numPr>
                <w:ilvl w:val="0"/>
                <w:numId w:val="1017"/>
              </w:numPr>
            </w:pPr>
            <m:oMath>
              <m:r>
                <m:rPr>
                  <m:nor/>
                  <m:sty m:val="p"/>
                </m:rPr>
                <m:t>E</m:t>
              </m:r>
              <m:d>
                <m:dPr>
                  <m:begChr m:val="["/>
                  <m:sepChr m:val=""/>
                  <m:endChr m:val="]"/>
                  <m:grow/>
                </m:dPr>
                <m:e>
                  <m:sSup>
                    <m:e>
                      <m:r>
                        <m:t>Y</m:t>
                      </m:r>
                    </m:e>
                    <m:sup>
                      <m:r>
                        <m:t>1</m:t>
                      </m:r>
                      <m:r>
                        <m:rPr>
                          <m:sty m:val="p"/>
                        </m:rPr>
                        <m:t>,</m:t>
                      </m:r>
                      <m:r>
                        <m:t>0</m:t>
                      </m:r>
                    </m:sup>
                  </m:sSup>
                </m:e>
              </m:d>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0</m:t>
                      </m:r>
                      <m:r>
                        <m:rPr>
                          <m:sty m:val="p"/>
                        </m:rPr>
                        <m:t>,</m:t>
                      </m:r>
                      <m:r>
                        <m:t>1</m:t>
                      </m:r>
                    </m:sup>
                  </m:sSup>
                </m:e>
              </m:d>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1</m:t>
                      </m:r>
                      <m:r>
                        <m:rPr>
                          <m:sty m:val="p"/>
                        </m:rPr>
                        <m:t>,</m:t>
                      </m:r>
                      <m:r>
                        <m:t>1</m:t>
                      </m:r>
                    </m:sup>
                  </m:sSup>
                </m:e>
              </m:d>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20"/>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1"/>
    <w:bookmarkEnd w:id="22"/>
    <w:bookmarkStart w:id="27"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sufficient-cause"/>
          <w:p>
            <w:pPr>
              <w:pStyle w:val="BodyText"/>
            </w:pPr>
            <w:r>
              <w:rPr>
                <w:b/>
                <w:bCs/>
              </w:rPr>
              <w:t xml:space="preserve">Definition 3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3"/>
        </w:tc>
      </w:tr>
    </w:tbl>
    <w:bookmarkStart w:id="26" w:name="components-of-sufficient-causes"/>
    <w:p>
      <w:pPr>
        <w:pStyle w:val="Heading3"/>
      </w:pPr>
      <w:r>
        <w:t xml:space="preserve">4.1 Components of Sufficient Causes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component-cause"/>
          <w:p>
            <w:pPr>
              <w:pStyle w:val="BodyText"/>
            </w:pPr>
            <w:r>
              <w:rPr>
                <w:b/>
                <w:bCs/>
              </w:rPr>
              <w:t xml:space="preserve">Definition 4 (Component Cause)</w:t>
            </w:r>
            <w:r>
              <w:t xml:space="preserve"> </w:t>
            </w:r>
            <w:r>
              <w:t xml:space="preserve">Each sufficient cause consists of</w:t>
            </w:r>
            <w:r>
              <w:t xml:space="preserve"> </w:t>
            </w:r>
            <w:r>
              <w:rPr>
                <w:b/>
                <w:bCs/>
              </w:rPr>
              <w:t xml:space="preserve">component causes</w:t>
            </w:r>
            <w:r>
              <w:t xml:space="preserve">—individual factors that, together, are sufficient to produce the outcome.</w:t>
            </w:r>
          </w:p>
          <w:bookmarkEnd w:id="2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5"/>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6"/>
    <w:bookmarkEnd w:id="27"/>
    <w:bookmarkStart w:id="31"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sufficient-cause-interaction"/>
          <w:p>
            <w:pPr>
              <w:pStyle w:val="BodyText"/>
            </w:pPr>
            <w:r>
              <w:rPr>
                <w:b/>
                <w:bCs/>
              </w:rPr>
              <w:t xml:space="preserve">Definition 5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8"/>
        </w:tc>
      </w:tr>
    </w:tbl>
    <w:bookmarkStart w:id="30"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9"/>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30"/>
    <w:bookmarkEnd w:id="31"/>
    <w:bookmarkStart w:id="34"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2"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2"/>
    <w:bookmarkStart w:id="33"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3"/>
    <w:bookmarkEnd w:id="34"/>
    <w:bookmarkStart w:id="35"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5"/>
    <w:bookmarkStart w:id="39" w:name="references"/>
    <w:p>
      <w:pPr>
        <w:pStyle w:val="Heading2"/>
      </w:pPr>
      <w:r>
        <w:t xml:space="preserve">8 References</w:t>
      </w:r>
    </w:p>
    <w:p>
      <w:r>
        <w:pict>
          <v:rect style="width:0;height:1.5pt" o:hralign="center" o:hrstd="t" o:hr="t"/>
        </w:pic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2026-08-20T19:57:03Z</dcterms:created>
  <dcterms:modified xsi:type="dcterms:W3CDTF">2026-08-20T19:57:03Z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