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rPr>
            <m:nor/>
            <m:sty m:val="p"/>
          </m:rPr>
          <m:t>E</m:t>
        </m:r>
        <m:d>
          <m:dPr>
            <m:begChr m:val="["/>
            <m:sepChr m:val=""/>
            <m:endChr m:val="]"/>
            <m:grow/>
          </m:dPr>
          <m:e>
            <m:r>
              <m:t>Y</m:t>
            </m:r>
            <m:r>
              <m:rPr>
                <m:sty m:val="p"/>
              </m:rPr>
              <m:t>|</m:t>
            </m:r>
            <m:r>
              <m:t>A</m:t>
            </m:r>
            <m:r>
              <m:rPr>
                <m:sty m:val="p"/>
              </m:rPr>
              <m:t>=</m:t>
            </m:r>
            <m:r>
              <m:t>a</m:t>
            </m:r>
          </m:e>
        </m:d>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rPr>
            <m:nor/>
            <m:sty m:val="p"/>
          </m:rPr>
          <m:t>E</m:t>
        </m:r>
        <m:d>
          <m:dPr>
            <m:begChr m:val="["/>
            <m:sepChr m:val=""/>
            <m:endChr m:val="]"/>
            <m:grow/>
          </m:dPr>
          <m:e>
            <m:r>
              <m:t>Y</m:t>
            </m:r>
            <m:r>
              <m:rPr>
                <m:sty m:val="p"/>
              </m:rPr>
              <m:t>|</m:t>
            </m:r>
            <m:r>
              <m:t>A</m:t>
            </m:r>
            <m:r>
              <m:rPr>
                <m:sty m:val="p"/>
              </m:rPr>
              <m:t>=</m:t>
            </m:r>
            <m:r>
              <m:t>90</m:t>
            </m:r>
          </m:e>
        </m:d>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8" w:name="X0169302aa388497439d4ae4bb0044efb18dacaa"/>
    <w:p>
      <w:pPr>
        <w:pStyle w:val="Heading2"/>
      </w:pPr>
      <w:r>
        <w:t xml:space="preserve">2 11.2 Parametric Estimators of the Conditional Mean (pp. 150-152)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parametric-models"/>
          <w:p>
            <w:pPr>
              <w:pStyle w:val="BodyText"/>
            </w:pPr>
            <w:r>
              <w:rPr>
                <w:b/>
                <w:bCs/>
              </w:rPr>
              <w:t xml:space="preserve">Definition 1 (Parametric Models)</w:t>
            </w:r>
            <w:r>
              <w:t xml:space="preserve"> </w:t>
            </w:r>
            <w:r>
              <w:rPr>
                <w:b/>
                <w:bCs/>
              </w:rPr>
              <w:t xml:space="preserve">Parametric models</w:t>
            </w:r>
            <w:r>
              <w:t xml:space="preserve"> </w:t>
            </w:r>
            <w:r>
              <w:t xml:space="preserve">make assumptions about the functional form relating treatment to outcome, allowing estimation even with sparse data.</w:t>
            </w:r>
          </w:p>
          <w:bookmarkEnd w:id="14"/>
        </w:tc>
      </w:tr>
    </w:tbl>
    <w:bookmarkStart w:id="16"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rPr>
            <m:nor/>
            <m:sty m:val="p"/>
          </m:rPr>
          <m:t>E</m:t>
        </m:r>
        <m:d>
          <m:dPr>
            <m:begChr m:val="["/>
            <m:sepChr m:val=""/>
            <m:endChr m:val="]"/>
            <m:grow/>
          </m:dPr>
          <m:e>
            <m:r>
              <m:t>Y</m:t>
            </m:r>
            <m:r>
              <m:rPr>
                <m:sty m:val="p"/>
              </m:rPr>
              <m:t>|</m:t>
            </m:r>
            <m:r>
              <m:t>A</m:t>
            </m:r>
            <m:r>
              <m:rPr>
                <m:sty m:val="p"/>
              </m:rPr>
              <m:t>=</m:t>
            </m:r>
            <m:r>
              <m:t>a</m:t>
            </m:r>
          </m:e>
        </m:d>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rPr>
                      <m:nor/>
                      <m:sty m:val="p"/>
                    </m:rPr>
                    <m:t>E</m:t>
                  </m:r>
                </m:e>
              </m:acc>
              <m:d>
                <m:dPr>
                  <m:begChr m:val="["/>
                  <m:sepChr m:val=""/>
                  <m:endChr m:val="]"/>
                  <m:grow/>
                </m:dPr>
                <m:e>
                  <m:r>
                    <m:t>Y</m:t>
                  </m:r>
                  <m:r>
                    <m:rPr>
                      <m:sty m:val="p"/>
                    </m:rPr>
                    <m:t>|</m:t>
                  </m:r>
                  <m:r>
                    <m:t>A</m:t>
                  </m:r>
                  <m:r>
                    <m:rPr>
                      <m:sty m:val="p"/>
                    </m:rPr>
                    <m:t>=</m:t>
                  </m:r>
                  <m:r>
                    <m:t>90</m:t>
                  </m:r>
                </m:e>
              </m:d>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5"/>
        </w:tc>
      </w:tr>
    </w:tbl>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6"/>
    <w:bookmarkStart w:id="17"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7"/>
    <w:bookmarkEnd w:id="18"/>
    <w:bookmarkStart w:id="22" w:name="smoothing-pp.-152-153"/>
    <w:p>
      <w:pPr>
        <w:pStyle w:val="Heading2"/>
      </w:pPr>
      <w:r>
        <w:t xml:space="preserve">3 11.3 Smoothing (pp. 152-153)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smoothing"/>
          <w:p>
            <w:pPr>
              <w:pStyle w:val="BodyText"/>
            </w:pPr>
            <w:r>
              <w:rPr>
                <w:b/>
                <w:bCs/>
              </w:rPr>
              <w:t xml:space="preserve">Definition 2 (Smoothing)</w:t>
            </w:r>
            <w:r>
              <w:t xml:space="preserve"> </w:t>
            </w:r>
            <w:r>
              <w:rPr>
                <w:b/>
                <w:bCs/>
              </w:rPr>
              <w:t xml:space="preserve">Smoothing</w:t>
            </w:r>
            <w:r>
              <w:t xml:space="preserve"> </w:t>
            </w:r>
            <w:r>
              <w:t xml:space="preserve">refers to techniques that estimate the conditional mean as a smooth function, balancing between nonparametric flexibility and parametric smoothness.</w:t>
            </w:r>
          </w:p>
          <w:bookmarkEnd w:id="19"/>
        </w:tc>
      </w:tr>
    </w:tbl>
    <w:bookmarkStart w:id="20"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rPr>
            <m:nor/>
            <m:sty m:val="p"/>
          </m:rPr>
          <m:t>E</m:t>
        </m:r>
        <m:d>
          <m:dPr>
            <m:begChr m:val="["/>
            <m:sepChr m:val=""/>
            <m:endChr m:val="]"/>
            <m:grow/>
          </m:dPr>
          <m:e>
            <m:r>
              <m:t>Y</m:t>
            </m:r>
            <m:r>
              <m:rPr>
                <m:sty m:val="p"/>
              </m:rPr>
              <m:t>|</m:t>
            </m:r>
            <m:r>
              <m:t>A</m:t>
            </m:r>
            <m:r>
              <m:rPr>
                <m:sty m:val="p"/>
              </m:rPr>
              <m:t>=</m:t>
            </m:r>
            <m:r>
              <m:t>90</m:t>
            </m:r>
          </m:e>
        </m:d>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20"/>
    <w:bookmarkStart w:id="21" w:name="kernel-smoothing"/>
    <w:p>
      <w:pPr>
        <w:pStyle w:val="Heading3"/>
      </w:pPr>
      <w:r>
        <w:t xml:space="preserve">3.2 Kernel Smoothing</w:t>
      </w:r>
    </w:p>
    <w:p>
      <w:pPr>
        <w:pStyle w:val="FirstParagraph"/>
      </w:pPr>
      <w:r>
        <w:rPr>
          <w:b/>
          <w:bCs/>
        </w:rPr>
        <w:t xml:space="preserve">Idea</w:t>
      </w:r>
      <w:r>
        <w:t xml:space="preserve">: Estimate</w:t>
      </w:r>
      <w:r>
        <w:t xml:space="preserve"> </w:t>
      </w:r>
      <m:oMath>
        <m:r>
          <m:rPr>
            <m:nor/>
            <m:sty m:val="p"/>
          </m:rPr>
          <m:t>E</m:t>
        </m:r>
        <m:d>
          <m:dPr>
            <m:begChr m:val="["/>
            <m:sepChr m:val=""/>
            <m:endChr m:val="]"/>
            <m:grow/>
          </m:dPr>
          <m:e>
            <m:r>
              <m:t>Y</m:t>
            </m:r>
            <m:r>
              <m:rPr>
                <m:sty m:val="p"/>
              </m:rPr>
              <m:t>|</m:t>
            </m:r>
            <m:r>
              <m:t>A</m:t>
            </m:r>
            <m:r>
              <m:rPr>
                <m:sty m:val="p"/>
              </m:rPr>
              <m:t>=</m:t>
            </m:r>
            <m:r>
              <m:t>a</m:t>
            </m:r>
          </m:e>
        </m:d>
      </m:oMath>
      <w:r>
        <w:t xml:space="preserve"> </w:t>
      </w:r>
      <w:r>
        <w:t xml:space="preserve">using a weighted average of nearby observations.</w:t>
      </w:r>
    </w:p>
    <w:p>
      <w:pPr>
        <w:pStyle w:val="BodyText"/>
      </w:pPr>
      <m:oMathPara>
        <m:oMathParaPr>
          <m:jc m:val="center"/>
        </m:oMathParaPr>
        <m:oMath>
          <m:acc>
            <m:accPr>
              <m:chr m:val="̂"/>
            </m:accPr>
            <m:e>
              <m:r>
                <m:rPr>
                  <m:nor/>
                  <m:sty m:val="p"/>
                </m:rPr>
                <m:t>E</m:t>
              </m:r>
            </m:e>
          </m:acc>
          <m:d>
            <m:dPr>
              <m:begChr m:val="["/>
              <m:sepChr m:val=""/>
              <m:endChr m:val="]"/>
              <m:grow/>
            </m:dPr>
            <m:e>
              <m:r>
                <m:t>Y</m:t>
              </m:r>
              <m:r>
                <m:rPr>
                  <m:sty m:val="p"/>
                </m:rPr>
                <m:t>|</m:t>
              </m:r>
              <m:r>
                <m:t>A</m:t>
              </m:r>
              <m:r>
                <m:rPr>
                  <m:sty m:val="p"/>
                </m:rPr>
                <m:t>=</m:t>
              </m:r>
              <m:r>
                <m:t>a</m:t>
              </m:r>
            </m:e>
          </m:d>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21"/>
    <w:bookmarkEnd w:id="22"/>
    <w:bookmarkStart w:id="26"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4" w:name="definitions"/>
    <w:p>
      <w:pPr>
        <w:pStyle w:val="Heading3"/>
      </w:pPr>
      <w:r>
        <w:t xml:space="preserve">4.1 Definitions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3" w:name="def-bias-variance-mse"/>
          <w:p>
            <w:pPr>
              <w:pStyle w:val="BodyText"/>
            </w:pPr>
            <w:r>
              <w:rPr>
                <w:b/>
                <w:bCs/>
              </w:rPr>
              <w:t xml:space="preserve">Definition 3 (Bias, Variance, and Mean Squared Error)</w:t>
            </w:r>
            <w:r>
              <w:t xml:space="preserve"> </w:t>
            </w: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rPr>
                    <m:nor/>
                    <m:sty m:val="p"/>
                  </m:rPr>
                  <m:t>E</m:t>
                </m:r>
                <m:d>
                  <m:dPr>
                    <m:begChr m:val="["/>
                    <m:sepChr m:val=""/>
                    <m:endChr m:val="]"/>
                    <m:grow/>
                  </m:dPr>
                  <m:e>
                    <m:acc>
                      <m:accPr>
                        <m:chr m:val="̂"/>
                      </m:accPr>
                      <m:e>
                        <m:r>
                          <m:t>θ</m:t>
                        </m:r>
                      </m:e>
                    </m:acc>
                  </m:e>
                </m:d>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rPr>
                    <m:nor/>
                    <m:sty m:val="p"/>
                  </m:rPr>
                  <m:t>E</m:t>
                </m:r>
                <m:d>
                  <m:dPr>
                    <m:begChr m:val="["/>
                    <m:sepChr m:val=""/>
                    <m:endChr m:val="]"/>
                    <m:grow/>
                  </m:dPr>
                  <m:e>
                    <m:r>
                      <m:rPr>
                        <m:sty m:val="p"/>
                      </m:rPr>
                      <m:t>(</m:t>
                    </m:r>
                    <m:acc>
                      <m:accPr>
                        <m:chr m:val="̂"/>
                      </m:accPr>
                      <m:e>
                        <m:r>
                          <m:t>θ</m:t>
                        </m:r>
                      </m:e>
                    </m:acc>
                    <m:r>
                      <m:rPr>
                        <m:sty m:val="p"/>
                      </m:rPr>
                      <m:t>−</m:t>
                    </m:r>
                    <m:r>
                      <m:rPr>
                        <m:nor/>
                        <m:sty m:val="p"/>
                      </m:rPr>
                      <m:t>E</m:t>
                    </m:r>
                    <m:d>
                      <m:dPr>
                        <m:begChr m:val="["/>
                        <m:sepChr m:val=""/>
                        <m:endChr m:val="]"/>
                        <m:grow/>
                      </m:dPr>
                      <m:e>
                        <m:acc>
                          <m:accPr>
                            <m:chr m:val="̂"/>
                          </m:accPr>
                          <m:e>
                            <m:r>
                              <m:t>θ</m:t>
                            </m:r>
                          </m:e>
                        </m:acc>
                      </m:e>
                    </m:d>
                    <m:sSup>
                      <m:e>
                        <m:r>
                          <m:rPr>
                            <m:sty m:val="p"/>
                          </m:rPr>
                          <m:t>)</m:t>
                        </m:r>
                      </m:e>
                      <m:sup>
                        <m:r>
                          <m:t>2</m:t>
                        </m:r>
                      </m:sup>
                    </m:sSup>
                  </m:e>
                </m:d>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3"/>
        </w:tc>
      </w:tr>
    </w:tbl>
    <w:bookmarkEnd w:id="24"/>
    <w:bookmarkStart w:id="25"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rPr>
            <m:nor/>
            <m:sty m:val="p"/>
          </m:rPr>
          <m:t>E</m:t>
        </m:r>
        <m:d>
          <m:dPr>
            <m:begChr m:val="["/>
            <m:sepChr m:val=""/>
            <m:endChr m:val="]"/>
            <m:grow/>
          </m:dPr>
          <m:e>
            <m:r>
              <m:t>Y</m:t>
            </m:r>
            <m:r>
              <m:rPr>
                <m:sty m:val="p"/>
              </m:rPr>
              <m:t>|</m:t>
            </m:r>
            <m:r>
              <m:t>A</m:t>
            </m:r>
            <m:r>
              <m:rPr>
                <m:sty m:val="p"/>
              </m:rPr>
              <m:t>=</m:t>
            </m:r>
            <m:r>
              <m:t>90</m:t>
            </m:r>
          </m:e>
        </m:d>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5"/>
    <w:bookmarkEnd w:id="26"/>
    <w:bookmarkStart w:id="29"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7"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7"/>
    <w:bookmarkStart w:id="28"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8"/>
    <w:bookmarkEnd w:id="29"/>
    <w:bookmarkStart w:id="30"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30"/>
    <w:bookmarkStart w:id="34" w:name="references"/>
    <w:p>
      <w:pPr>
        <w:pStyle w:val="Heading2"/>
      </w:pPr>
      <w:r>
        <w:t xml:space="preserve">7 References</w:t>
      </w:r>
    </w:p>
    <w:p>
      <w:r>
        <w:pict>
          <v:rect style="width:0;height:1.5pt" o:hralign="center" o:hrstd="t" o:hr="t"/>
        </w:pict>
      </w:r>
    </w:p>
    <w:bookmarkStart w:id="33" w:name="refs"/>
    <w:bookmarkStart w:id="32"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1">
        <w:r>
          <w:rPr>
            <w:rStyle w:val="Hyperlink"/>
          </w:rPr>
          <w:t xml:space="preserve">https://miguelhernan.org/whatifbook</w:t>
        </w:r>
      </w:hyperlink>
      <w:r>
        <w:t xml:space="preserve">.</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1"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2026-08-20T19:58:57Z</dcterms:created>
  <dcterms:modified xsi:type="dcterms:W3CDTF">2026-08-20T19:58:57Z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