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End of Follow-Up and Administrative Censoring)</w:t>
            </w:r>
            <w:r>
              <w:t xml:space="preserve"> </w:t>
            </w:r>
            <w:r>
              <w:t xml:space="preserve">Most follow-up studies have a date after which there is no information on any individuals: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Individuals who do not develop the event of interest before the administrative end of follow-up have their survival time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4"/>
    <w:bookmarkEnd w:id="15"/>
    <w:bookmarkStart w:id="27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person-time-format"/>
          <w:p>
            <w:pPr>
              <w:pStyle w:val="BodyText"/>
            </w:pPr>
            <w:r>
              <w:rPr>
                <w:b/>
                <w:bCs/>
              </w:rPr>
              <w:t xml:space="preserve">Definition 2 (Person-Time Data Format)</w:t>
            </w:r>
            <w:r>
              <w:t xml:space="preserve"> </w:t>
            </w:r>
            <w:r>
              <w:t xml:space="preserve">In the second data arrangement each row of the database corresponds to a</w:t>
            </w:r>
            <w:r>
              <w:t xml:space="preserve"> </w:t>
            </w:r>
            <w:r>
              <w:rPr>
                <w:b/>
                <w:bCs/>
              </w:rPr>
              <w:t xml:space="preserve">person-time</w:t>
            </w:r>
            <w:r>
              <w:t xml:space="preserve">.</w:t>
            </w:r>
            <w:r>
              <w:t xml:space="preserve"> </w:t>
            </w:r>
            <w:r>
              <w:t xml:space="preserve">That is, the first row contains the information for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second row the information for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the follow-up of person 1 ends.</w:t>
            </w:r>
            <w:r>
              <w:t xml:space="preserve"> </w:t>
            </w:r>
            <w:r>
              <w:t xml:space="preserve">This person-time (or</w:t>
            </w:r>
            <w:r>
              <w:t xml:space="preserve"> </w:t>
            </w:r>
            <w:r>
              <w:t xml:space="preserve">“long”</w:t>
            </w:r>
            <w:r>
              <w:t xml:space="preserve">) data format is the one we will use in most survival analyses in this chapter</w:t>
            </w:r>
            <w:r>
              <w:t xml:space="preserve"> </w:t>
            </w:r>
            <w:r>
              <w:t xml:space="preserve">and in all analyses with time-varying treatments in Part III.</w:t>
            </w:r>
          </w:p>
          <w:bookmarkEnd w:id="16"/>
        </w:tc>
      </w:tr>
    </w:tbl>
    <w:p>
      <w:pPr>
        <w:pStyle w:val="BodyText"/>
      </w:pPr>
      <w:r>
        <w:t xml:space="preserve">In our smoking cessation example, the person-time dataset has 176,764 rows, one per person-month.</w:t>
      </w:r>
    </w:p>
    <w:bookmarkStart w:id="18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3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7"/>
        </w:tc>
      </w:tr>
    </w:tbl>
    <w:bookmarkEnd w:id="18"/>
    <w:bookmarkStart w:id="19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9"/>
    <w:bookmarkStart w:id="26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6"/>
    <w:bookmarkEnd w:id="27"/>
    <w:bookmarkStart w:id="31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8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8"/>
    <w:bookmarkStart w:id="29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9"/>
    <w:bookmarkStart w:id="30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30"/>
    <w:bookmarkEnd w:id="31"/>
    <w:bookmarkStart w:id="34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2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2"/>
    <w:bookmarkStart w:id="33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3"/>
    <w:bookmarkEnd w:id="34"/>
    <w:bookmarkStart w:id="37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5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5"/>
    <w:bookmarkStart w:id="36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6"/>
    <w:bookmarkEnd w:id="37"/>
    <w:bookmarkStart w:id="44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9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structural-nested-aft-model"/>
          <w:p>
            <w:pPr>
              <w:pStyle w:val="BodyText"/>
            </w:pPr>
            <w:r>
              <w:rPr>
                <w:b/>
                <w:bCs/>
              </w:rPr>
              <w:t xml:space="preserve">Definition 4 (Structural Nested Accelerated Failure Time (AFT)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the counterfactual time of survival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under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effect of treatment is the same for every individual.</w:t>
            </w:r>
            <w:r>
              <w:t xml:space="preserve"> </w:t>
            </w:r>
            <w:r>
              <w:t xml:space="preserve">We can then consider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accelerated failure time (AFT) model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the expansion (or contraction) of each individual’s survival time attributable to treatment.</w:t>
            </w:r>
          </w:p>
          <w:bookmarkEnd w:id="38"/>
        </w:tc>
      </w:tr>
    </w:tbl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9"/>
    <w:bookmarkStart w:id="43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3"/>
    <w:bookmarkEnd w:id="44"/>
    <w:bookmarkStart w:id="4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5"/>
    <w:bookmarkStart w:id="4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2026-08-20T20:00:03Z</dcterms:created>
  <dcterms:modified xsi:type="dcterms:W3CDTF">2026-08-20T20:00:03Z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